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A0ADF7" w14:textId="77777777" w:rsidR="00D0051E" w:rsidRPr="00D0051E" w:rsidRDefault="00D0051E" w:rsidP="00D0051E"/>
    <w:p w14:paraId="743EA31F" w14:textId="77777777" w:rsidR="00B00FB7" w:rsidRPr="00B00FB7" w:rsidRDefault="00B00FB7" w:rsidP="00B00FB7">
      <w:pPr>
        <w:pStyle w:val="Titel"/>
      </w:pPr>
      <w:r w:rsidRPr="00B00FB7">
        <w:t>Proceedings 2015-2018</w:t>
      </w:r>
    </w:p>
    <w:p w14:paraId="2204E246" w14:textId="77777777" w:rsidR="00B00FB7" w:rsidRPr="00B00FB7" w:rsidRDefault="00B00FB7" w:rsidP="00B00FB7">
      <w:pPr>
        <w:pStyle w:val="Titel"/>
      </w:pPr>
      <w:r w:rsidRPr="00B00FB7">
        <w:t>ANNEX 5</w:t>
      </w:r>
    </w:p>
    <w:p w14:paraId="306958FE" w14:textId="77777777" w:rsidR="00B00FB7" w:rsidRPr="00B00FB7" w:rsidRDefault="00B00FB7" w:rsidP="00B00FB7">
      <w:pPr>
        <w:pStyle w:val="Titel"/>
      </w:pPr>
      <w:r w:rsidRPr="00B00FB7">
        <w:t>Briefing Note for Decision by the Ministers</w:t>
      </w:r>
    </w:p>
    <w:p w14:paraId="5487DFA4" w14:textId="77777777" w:rsidR="00B00FB7" w:rsidRPr="00BA54BD" w:rsidRDefault="00B00FB7" w:rsidP="00B00FB7">
      <w:pPr>
        <w:spacing w:line="24" w:lineRule="atLeast"/>
        <w:rPr>
          <w:lang w:val="en-US"/>
        </w:rPr>
      </w:pPr>
    </w:p>
    <w:p w14:paraId="1403D841" w14:textId="77777777" w:rsidR="00B00FB7" w:rsidRPr="000C67FA" w:rsidRDefault="00B00FB7" w:rsidP="00B00FB7">
      <w:pPr>
        <w:spacing w:after="0" w:line="24" w:lineRule="atLeast"/>
        <w:contextualSpacing/>
        <w:jc w:val="right"/>
        <w:rPr>
          <w:rFonts w:ascii="Verdana" w:hAnsi="Verdana"/>
          <w:i/>
          <w:lang w:val="en-US"/>
        </w:rPr>
      </w:pPr>
      <w:bookmarkStart w:id="0" w:name="_GoBack"/>
      <w:bookmarkEnd w:id="0"/>
      <w:r w:rsidRPr="000C67FA">
        <w:rPr>
          <w:rFonts w:ascii="Verdana" w:hAnsi="Verdana"/>
          <w:i/>
          <w:lang w:val="en-US"/>
        </w:rPr>
        <w:t>Issue date: 12/02/2010</w:t>
      </w:r>
    </w:p>
    <w:p w14:paraId="728BF779" w14:textId="77777777" w:rsidR="00B00FB7" w:rsidRDefault="00B00FB7" w:rsidP="00B00FB7">
      <w:pPr>
        <w:spacing w:after="0" w:line="24" w:lineRule="atLeast"/>
        <w:contextualSpacing/>
        <w:jc w:val="both"/>
        <w:rPr>
          <w:rFonts w:ascii="Verdana" w:hAnsi="Verdana"/>
          <w:lang w:val="en-US"/>
        </w:rPr>
      </w:pPr>
    </w:p>
    <w:p w14:paraId="7EA1D031" w14:textId="77777777" w:rsidR="00B00FB7" w:rsidRPr="00B00FB7" w:rsidRDefault="00B00FB7" w:rsidP="00B00FB7">
      <w:pPr>
        <w:rPr>
          <w:rFonts w:ascii="Verdana" w:hAnsi="Verdana"/>
          <w:i/>
          <w:lang w:val="en-US"/>
        </w:rPr>
      </w:pPr>
      <w:r w:rsidRPr="00B00FB7">
        <w:rPr>
          <w:rFonts w:ascii="Verdana" w:hAnsi="Verdana"/>
          <w:i/>
          <w:lang w:val="en-US"/>
        </w:rPr>
        <w:t>In response to the request to leave technical details out of the Declaration, BFUG members are provided with the present document to be put forward to their Ministers for approval (indivually) before the Bologna Ministerial Anniversary Conference in March.</w:t>
      </w:r>
    </w:p>
    <w:p w14:paraId="20BCF618" w14:textId="77777777" w:rsidR="00B00FB7" w:rsidRDefault="00B00FB7" w:rsidP="00B00FB7">
      <w:pPr>
        <w:rPr>
          <w:rFonts w:ascii="Verdana" w:hAnsi="Verdana"/>
          <w:i/>
          <w:lang w:val="en-US"/>
        </w:rPr>
      </w:pPr>
      <w:r w:rsidRPr="00B00FB7">
        <w:rPr>
          <w:rFonts w:ascii="Verdana" w:hAnsi="Verdana"/>
          <w:i/>
          <w:lang w:val="en-US"/>
        </w:rPr>
        <w:t>It concerns three issues:</w:t>
      </w:r>
    </w:p>
    <w:p w14:paraId="0C39A7CD" w14:textId="77777777" w:rsidR="004F6211" w:rsidRPr="00B00FB7" w:rsidRDefault="004F6211" w:rsidP="00B00FB7">
      <w:pPr>
        <w:rPr>
          <w:rFonts w:ascii="Verdana" w:hAnsi="Verdana"/>
          <w:i/>
          <w:lang w:val="en-US"/>
        </w:rPr>
      </w:pPr>
    </w:p>
    <w:p w14:paraId="1AE715FA" w14:textId="77777777" w:rsidR="00B00FB7" w:rsidRPr="00B00FB7" w:rsidRDefault="00B00FB7" w:rsidP="00C32DB7">
      <w:pPr>
        <w:pStyle w:val="berschrift1"/>
      </w:pPr>
      <w:r w:rsidRPr="00B00FB7">
        <w:t>1. CO-CHAIRING OF THE BOLOGNA PROCESS 2010-2012</w:t>
      </w:r>
    </w:p>
    <w:p w14:paraId="2E42DBA2" w14:textId="77777777" w:rsidR="00B00FB7" w:rsidRDefault="00B00FB7" w:rsidP="00B00FB7">
      <w:pPr>
        <w:rPr>
          <w:rFonts w:ascii="Verdana" w:hAnsi="Verdana"/>
          <w:lang w:val="en-US"/>
        </w:rPr>
      </w:pPr>
    </w:p>
    <w:p w14:paraId="55F09816" w14:textId="77777777" w:rsidR="00B00FB7" w:rsidRPr="00B00FB7" w:rsidRDefault="00B00FB7" w:rsidP="00B00FB7">
      <w:pPr>
        <w:rPr>
          <w:rFonts w:ascii="Verdana" w:hAnsi="Verdana"/>
          <w:lang w:val="en-US"/>
        </w:rPr>
      </w:pPr>
      <w:r w:rsidRPr="00B00FB7">
        <w:rPr>
          <w:rFonts w:ascii="Verdana" w:hAnsi="Verdana"/>
          <w:lang w:val="en-US"/>
        </w:rPr>
        <w:t>With the Leuven/Louvain-la-Neuve Communiqué the Ministers decided that in the future, the Bologna Process would be co-chaired by the country holding the EU presidency and a non-EU country. To put this decision into practice, the Bologna Follow-up Group at its meeting in Stockholm on 28-29 September 2009 agreed:</w:t>
      </w:r>
    </w:p>
    <w:p w14:paraId="0A0773B7" w14:textId="77777777" w:rsidR="00B00FB7" w:rsidRPr="00B00FB7" w:rsidRDefault="00B00FB7" w:rsidP="00B00FB7">
      <w:pPr>
        <w:pStyle w:val="Listenabsatz"/>
        <w:numPr>
          <w:ilvl w:val="0"/>
          <w:numId w:val="6"/>
        </w:numPr>
        <w:rPr>
          <w:rFonts w:ascii="Verdana" w:hAnsi="Verdana"/>
        </w:rPr>
      </w:pPr>
      <w:r w:rsidRPr="00B00FB7">
        <w:rPr>
          <w:rFonts w:ascii="Verdana" w:hAnsi="Verdana"/>
        </w:rPr>
        <w:t>to treat the EU Presidency and the non-EU country as two chairs (rather than as chair and co-chair) to signal very clearly that the Bologna Process will be chaired on equal footing by the EU Presidency and a non-EU country.</w:t>
      </w:r>
    </w:p>
    <w:p w14:paraId="5AEEE049" w14:textId="77777777" w:rsidR="00B00FB7" w:rsidRPr="00B00FB7" w:rsidRDefault="00B00FB7" w:rsidP="00B00FB7">
      <w:pPr>
        <w:pStyle w:val="Listenabsatz"/>
        <w:numPr>
          <w:ilvl w:val="0"/>
          <w:numId w:val="6"/>
        </w:numPr>
        <w:rPr>
          <w:rFonts w:ascii="Verdana" w:hAnsi="Verdana"/>
        </w:rPr>
      </w:pPr>
      <w:r w:rsidRPr="00B00FB7">
        <w:rPr>
          <w:rFonts w:ascii="Verdana" w:hAnsi="Verdana"/>
        </w:rPr>
        <w:t>to leave it to each chairing team to define the exact division of tasks between the two chairs and the vice chair(s)</w:t>
      </w:r>
    </w:p>
    <w:p w14:paraId="191F4230" w14:textId="77777777" w:rsidR="00B00FB7" w:rsidRPr="00B00FB7" w:rsidRDefault="00B00FB7" w:rsidP="00B00FB7">
      <w:pPr>
        <w:pStyle w:val="Listenabsatz"/>
        <w:numPr>
          <w:ilvl w:val="0"/>
          <w:numId w:val="6"/>
        </w:numPr>
        <w:rPr>
          <w:rFonts w:ascii="Verdana" w:hAnsi="Verdana"/>
        </w:rPr>
      </w:pPr>
      <w:r w:rsidRPr="00B00FB7">
        <w:rPr>
          <w:rFonts w:ascii="Verdana" w:hAnsi="Verdana"/>
        </w:rPr>
        <w:t>to start the new chairing arrangement on 1 July 2010.</w:t>
      </w:r>
    </w:p>
    <w:p w14:paraId="5F3AF3F7" w14:textId="77777777" w:rsidR="00B00FB7" w:rsidRPr="00B00FB7" w:rsidRDefault="00B00FB7" w:rsidP="00B00FB7">
      <w:pPr>
        <w:pStyle w:val="Listenabsatz"/>
        <w:numPr>
          <w:ilvl w:val="0"/>
          <w:numId w:val="6"/>
        </w:numPr>
        <w:rPr>
          <w:rFonts w:ascii="Verdana" w:hAnsi="Verdana"/>
        </w:rPr>
      </w:pPr>
      <w:r w:rsidRPr="00B00FB7">
        <w:rPr>
          <w:rFonts w:ascii="Verdana" w:hAnsi="Verdana"/>
        </w:rPr>
        <w:t>to apply the alphabetical order when designating the chair from a non-EU country.</w:t>
      </w:r>
    </w:p>
    <w:p w14:paraId="73AE4456" w14:textId="77777777" w:rsidR="00B00FB7" w:rsidRPr="00B00FB7" w:rsidRDefault="00B00FB7" w:rsidP="00B00FB7">
      <w:pPr>
        <w:pStyle w:val="Listenabsatz"/>
        <w:numPr>
          <w:ilvl w:val="0"/>
          <w:numId w:val="6"/>
        </w:numPr>
        <w:rPr>
          <w:rFonts w:ascii="Verdana" w:hAnsi="Verdana"/>
        </w:rPr>
      </w:pPr>
      <w:r w:rsidRPr="00B00FB7">
        <w:rPr>
          <w:rFonts w:ascii="Verdana" w:hAnsi="Verdana"/>
        </w:rPr>
        <w:t>to adjust the composition of the BFUG Board by replacing the three elected members with the outgoing, present and incoming non-EU chairs.</w:t>
      </w:r>
    </w:p>
    <w:p w14:paraId="7F808FE0" w14:textId="77777777" w:rsidR="00B00FB7" w:rsidRDefault="00B00FB7" w:rsidP="00B00FB7">
      <w:pPr>
        <w:rPr>
          <w:rFonts w:ascii="Verdana" w:hAnsi="Verdana"/>
          <w:lang w:val="en-US"/>
        </w:rPr>
      </w:pPr>
    </w:p>
    <w:p w14:paraId="021C6F4D" w14:textId="77777777" w:rsidR="004F6211" w:rsidRDefault="00B00FB7" w:rsidP="004F6211">
      <w:pPr>
        <w:rPr>
          <w:rFonts w:ascii="Verdana" w:hAnsi="Verdana"/>
          <w:lang w:val="en-US"/>
        </w:rPr>
      </w:pPr>
      <w:r w:rsidRPr="00B00FB7">
        <w:rPr>
          <w:rFonts w:ascii="Verdana" w:hAnsi="Verdana"/>
          <w:lang w:val="en-US"/>
        </w:rPr>
        <w:t xml:space="preserve">This will result in the following </w:t>
      </w:r>
      <w:r w:rsidRPr="00B00FB7">
        <w:rPr>
          <w:rFonts w:ascii="Verdana" w:hAnsi="Verdana"/>
          <w:b/>
          <w:lang w:val="en-US"/>
        </w:rPr>
        <w:t>chairing arrangement</w:t>
      </w:r>
      <w:r w:rsidRPr="00B00FB7">
        <w:rPr>
          <w:rFonts w:ascii="Verdana" w:hAnsi="Verdana"/>
          <w:lang w:val="en-US"/>
        </w:rPr>
        <w:t xml:space="preserve"> up to the next Ministerial Meeting, at the occasion of which the arrangement should be evaluated and further established for the period until the following Ministerial Meeting in 2015.</w:t>
      </w:r>
    </w:p>
    <w:p w14:paraId="141BE911" w14:textId="77777777" w:rsidR="00BA54BD" w:rsidRDefault="00BA54BD" w:rsidP="004F6211">
      <w:pPr>
        <w:rPr>
          <w:rFonts w:ascii="Verdana" w:hAnsi="Verdana"/>
          <w:lang w:val="en-US"/>
        </w:rPr>
      </w:pPr>
    </w:p>
    <w:p w14:paraId="17E6983E" w14:textId="77777777" w:rsidR="004F6211" w:rsidRPr="000C67FA" w:rsidRDefault="004F6211" w:rsidP="004F6211">
      <w:pPr>
        <w:rPr>
          <w:rFonts w:ascii="Verdana" w:hAnsi="Verdana"/>
          <w:lang w:val="en-US"/>
        </w:rPr>
      </w:pPr>
    </w:p>
    <w:tbl>
      <w:tblPr>
        <w:tblStyle w:val="Tabellenraster"/>
        <w:tblW w:w="0" w:type="auto"/>
        <w:jc w:val="center"/>
        <w:tblLook w:val="04A0" w:firstRow="1" w:lastRow="0" w:firstColumn="1" w:lastColumn="0" w:noHBand="0" w:noVBand="1"/>
      </w:tblPr>
      <w:tblGrid>
        <w:gridCol w:w="2996"/>
        <w:gridCol w:w="1840"/>
        <w:gridCol w:w="2003"/>
        <w:gridCol w:w="2591"/>
      </w:tblGrid>
      <w:tr w:rsidR="004F6211" w:rsidRPr="001A61B6" w14:paraId="79C3E9D1" w14:textId="77777777" w:rsidTr="004F6211">
        <w:trPr>
          <w:jc w:val="center"/>
        </w:trPr>
        <w:tc>
          <w:tcPr>
            <w:tcW w:w="0" w:type="auto"/>
            <w:shd w:val="clear" w:color="auto" w:fill="BFBFBF" w:themeFill="background1" w:themeFillShade="BF"/>
          </w:tcPr>
          <w:p w14:paraId="046B5001" w14:textId="77777777" w:rsidR="004F6211" w:rsidRPr="00AC7E38" w:rsidRDefault="004F6211" w:rsidP="004F6211">
            <w:pPr>
              <w:tabs>
                <w:tab w:val="right" w:pos="8996"/>
              </w:tabs>
              <w:spacing w:line="24" w:lineRule="atLeast"/>
              <w:rPr>
                <w:rFonts w:ascii="Verdana" w:hAnsi="Verdana"/>
                <w:b/>
                <w:sz w:val="20"/>
                <w:highlight w:val="lightGray"/>
              </w:rPr>
            </w:pPr>
            <w:r>
              <w:rPr>
                <w:rFonts w:ascii="Verdana" w:hAnsi="Verdana"/>
                <w:b/>
                <w:sz w:val="20"/>
                <w:highlight w:val="lightGray"/>
              </w:rPr>
              <w:lastRenderedPageBreak/>
              <w:t>Semester</w:t>
            </w:r>
          </w:p>
        </w:tc>
        <w:tc>
          <w:tcPr>
            <w:tcW w:w="0" w:type="auto"/>
            <w:shd w:val="clear" w:color="auto" w:fill="BFBFBF" w:themeFill="background1" w:themeFillShade="BF"/>
          </w:tcPr>
          <w:p w14:paraId="23E8F9CD" w14:textId="77777777" w:rsidR="004F6211" w:rsidRDefault="004F6211" w:rsidP="004F6211">
            <w:pPr>
              <w:tabs>
                <w:tab w:val="right" w:pos="8996"/>
              </w:tabs>
              <w:spacing w:line="24" w:lineRule="atLeast"/>
              <w:rPr>
                <w:rFonts w:ascii="Verdana" w:hAnsi="Verdana"/>
                <w:b/>
                <w:sz w:val="20"/>
                <w:highlight w:val="lightGray"/>
              </w:rPr>
            </w:pPr>
            <w:r>
              <w:rPr>
                <w:rFonts w:ascii="Verdana" w:hAnsi="Verdana"/>
                <w:b/>
                <w:sz w:val="20"/>
                <w:highlight w:val="lightGray"/>
              </w:rPr>
              <w:t>EU-Presidency</w:t>
            </w:r>
          </w:p>
        </w:tc>
        <w:tc>
          <w:tcPr>
            <w:tcW w:w="2003" w:type="dxa"/>
            <w:shd w:val="clear" w:color="auto" w:fill="BFBFBF" w:themeFill="background1" w:themeFillShade="BF"/>
          </w:tcPr>
          <w:p w14:paraId="3BC3F33B" w14:textId="77777777" w:rsidR="004F6211" w:rsidRPr="00BA54BD" w:rsidRDefault="004F6211" w:rsidP="004F6211">
            <w:pPr>
              <w:tabs>
                <w:tab w:val="right" w:pos="8996"/>
              </w:tabs>
              <w:spacing w:after="0" w:line="240" w:lineRule="auto"/>
              <w:rPr>
                <w:rFonts w:ascii="Verdana" w:hAnsi="Verdana"/>
                <w:b/>
                <w:sz w:val="20"/>
                <w:highlight w:val="lightGray"/>
                <w:lang w:val="en-US"/>
              </w:rPr>
            </w:pPr>
            <w:r w:rsidRPr="00BA54BD">
              <w:rPr>
                <w:rFonts w:ascii="Verdana" w:hAnsi="Verdana"/>
                <w:b/>
                <w:sz w:val="20"/>
                <w:highlight w:val="lightGray"/>
                <w:lang w:val="en-US"/>
              </w:rPr>
              <w:t>Chair from</w:t>
            </w:r>
          </w:p>
          <w:p w14:paraId="6756FC64" w14:textId="77777777" w:rsidR="004F6211" w:rsidRPr="00BA54BD" w:rsidRDefault="004F6211" w:rsidP="004F6211">
            <w:pPr>
              <w:tabs>
                <w:tab w:val="right" w:pos="8996"/>
              </w:tabs>
              <w:spacing w:after="0" w:line="240" w:lineRule="auto"/>
              <w:rPr>
                <w:rFonts w:ascii="Verdana" w:hAnsi="Verdana"/>
                <w:b/>
                <w:sz w:val="20"/>
                <w:highlight w:val="lightGray"/>
                <w:lang w:val="en-US"/>
              </w:rPr>
            </w:pPr>
            <w:r w:rsidRPr="00BA54BD">
              <w:rPr>
                <w:rFonts w:ascii="Verdana" w:hAnsi="Verdana"/>
                <w:b/>
                <w:sz w:val="20"/>
                <w:highlight w:val="lightGray"/>
                <w:lang w:val="en-US"/>
              </w:rPr>
              <w:t>non-EU country</w:t>
            </w:r>
          </w:p>
        </w:tc>
        <w:tc>
          <w:tcPr>
            <w:tcW w:w="2591" w:type="dxa"/>
            <w:shd w:val="clear" w:color="auto" w:fill="BFBFBF" w:themeFill="background1" w:themeFillShade="BF"/>
          </w:tcPr>
          <w:p w14:paraId="0F1D7FFE" w14:textId="77777777" w:rsidR="004F6211" w:rsidRDefault="004F6211" w:rsidP="004F6211">
            <w:pPr>
              <w:tabs>
                <w:tab w:val="right" w:pos="8996"/>
              </w:tabs>
              <w:spacing w:line="24" w:lineRule="atLeast"/>
              <w:rPr>
                <w:rFonts w:ascii="Verdana" w:hAnsi="Verdana"/>
                <w:b/>
                <w:sz w:val="20"/>
                <w:highlight w:val="lightGray"/>
              </w:rPr>
            </w:pPr>
            <w:r>
              <w:rPr>
                <w:rFonts w:ascii="Verdana" w:hAnsi="Verdana"/>
                <w:b/>
                <w:sz w:val="20"/>
                <w:highlight w:val="lightGray"/>
              </w:rPr>
              <w:t>Vice-Chair</w:t>
            </w:r>
          </w:p>
        </w:tc>
      </w:tr>
      <w:tr w:rsidR="004F6211" w:rsidRPr="001A61B6" w14:paraId="15A1062A" w14:textId="77777777" w:rsidTr="004F6211">
        <w:trPr>
          <w:jc w:val="center"/>
        </w:trPr>
        <w:tc>
          <w:tcPr>
            <w:tcW w:w="0" w:type="auto"/>
          </w:tcPr>
          <w:p w14:paraId="6BEE001E" w14:textId="77777777" w:rsidR="004F6211" w:rsidRPr="00790487" w:rsidRDefault="004F6211" w:rsidP="004F6211">
            <w:pPr>
              <w:spacing w:line="24" w:lineRule="atLeast"/>
              <w:rPr>
                <w:rFonts w:ascii="Verdana" w:hAnsi="Verdana"/>
                <w:sz w:val="20"/>
                <w:lang w:val="en-US"/>
              </w:rPr>
            </w:pPr>
            <w:r w:rsidRPr="004F6211">
              <w:rPr>
                <w:rFonts w:ascii="Verdana" w:hAnsi="Verdana"/>
                <w:sz w:val="20"/>
                <w:lang w:val="en-US"/>
              </w:rPr>
              <w:t>1 July – 31 December 2010</w:t>
            </w:r>
          </w:p>
        </w:tc>
        <w:tc>
          <w:tcPr>
            <w:tcW w:w="0" w:type="auto"/>
          </w:tcPr>
          <w:p w14:paraId="24876F38" w14:textId="77777777" w:rsidR="004F6211" w:rsidRPr="00790487" w:rsidRDefault="004F6211" w:rsidP="004F6211">
            <w:pPr>
              <w:spacing w:line="24" w:lineRule="atLeast"/>
              <w:rPr>
                <w:rFonts w:ascii="Verdana" w:hAnsi="Verdana"/>
                <w:sz w:val="20"/>
                <w:lang w:val="en-US"/>
              </w:rPr>
            </w:pPr>
            <w:r>
              <w:rPr>
                <w:rFonts w:ascii="Verdana" w:hAnsi="Verdana"/>
                <w:sz w:val="20"/>
                <w:lang w:val="en-US"/>
              </w:rPr>
              <w:t>Belgium</w:t>
            </w:r>
          </w:p>
        </w:tc>
        <w:tc>
          <w:tcPr>
            <w:tcW w:w="2003" w:type="dxa"/>
          </w:tcPr>
          <w:p w14:paraId="7AC2759B" w14:textId="77777777" w:rsidR="004F6211" w:rsidRPr="00790487" w:rsidRDefault="004F6211" w:rsidP="004F6211">
            <w:pPr>
              <w:spacing w:line="24" w:lineRule="atLeast"/>
              <w:rPr>
                <w:rFonts w:ascii="Verdana" w:hAnsi="Verdana"/>
                <w:sz w:val="20"/>
                <w:lang w:val="en-US"/>
              </w:rPr>
            </w:pPr>
            <w:r>
              <w:rPr>
                <w:rFonts w:ascii="Verdana" w:hAnsi="Verdana"/>
                <w:sz w:val="20"/>
                <w:lang w:val="en-US"/>
              </w:rPr>
              <w:t>Albania</w:t>
            </w:r>
          </w:p>
        </w:tc>
        <w:tc>
          <w:tcPr>
            <w:tcW w:w="2591" w:type="dxa"/>
            <w:vMerge w:val="restart"/>
          </w:tcPr>
          <w:p w14:paraId="1126B957" w14:textId="77777777" w:rsidR="004F6211" w:rsidRPr="00790487" w:rsidRDefault="004F6211" w:rsidP="004F6211">
            <w:pPr>
              <w:spacing w:line="24" w:lineRule="atLeast"/>
              <w:rPr>
                <w:rFonts w:ascii="Verdana" w:hAnsi="Verdana"/>
                <w:sz w:val="20"/>
                <w:lang w:val="en-US"/>
              </w:rPr>
            </w:pPr>
            <w:r>
              <w:rPr>
                <w:rFonts w:ascii="Verdana" w:hAnsi="Verdana"/>
                <w:sz w:val="20"/>
                <w:lang w:val="en-US"/>
              </w:rPr>
              <w:t>Romania</w:t>
            </w:r>
          </w:p>
        </w:tc>
      </w:tr>
      <w:tr w:rsidR="004F6211" w:rsidRPr="00790487" w14:paraId="3F778973" w14:textId="77777777" w:rsidTr="004F6211">
        <w:trPr>
          <w:jc w:val="center"/>
        </w:trPr>
        <w:tc>
          <w:tcPr>
            <w:tcW w:w="0" w:type="auto"/>
          </w:tcPr>
          <w:p w14:paraId="5D763EA4" w14:textId="77777777" w:rsidR="004F6211" w:rsidRPr="00790487" w:rsidRDefault="004F6211" w:rsidP="004F6211">
            <w:pPr>
              <w:spacing w:line="24" w:lineRule="atLeast"/>
              <w:rPr>
                <w:rFonts w:ascii="Verdana" w:hAnsi="Verdana"/>
                <w:sz w:val="20"/>
                <w:lang w:val="en-US"/>
              </w:rPr>
            </w:pPr>
            <w:r w:rsidRPr="004F6211">
              <w:rPr>
                <w:rFonts w:ascii="Verdana" w:hAnsi="Verdana"/>
                <w:sz w:val="20"/>
                <w:lang w:val="en-US"/>
              </w:rPr>
              <w:t>1 January - 30 June 2011</w:t>
            </w:r>
          </w:p>
        </w:tc>
        <w:tc>
          <w:tcPr>
            <w:tcW w:w="0" w:type="auto"/>
          </w:tcPr>
          <w:p w14:paraId="1C4DFB10" w14:textId="77777777" w:rsidR="004F6211" w:rsidRDefault="004F6211" w:rsidP="004F6211">
            <w:pPr>
              <w:spacing w:line="24" w:lineRule="atLeast"/>
              <w:rPr>
                <w:rFonts w:ascii="Verdana" w:hAnsi="Verdana"/>
                <w:sz w:val="20"/>
                <w:lang w:val="en-US"/>
              </w:rPr>
            </w:pPr>
            <w:r>
              <w:rPr>
                <w:rFonts w:ascii="Verdana" w:hAnsi="Verdana"/>
                <w:sz w:val="20"/>
                <w:lang w:val="en-US"/>
              </w:rPr>
              <w:t>Hungary</w:t>
            </w:r>
          </w:p>
        </w:tc>
        <w:tc>
          <w:tcPr>
            <w:tcW w:w="2003" w:type="dxa"/>
          </w:tcPr>
          <w:p w14:paraId="76A55459" w14:textId="77777777" w:rsidR="004F6211" w:rsidRDefault="004F6211" w:rsidP="004F6211">
            <w:pPr>
              <w:spacing w:line="24" w:lineRule="atLeast"/>
              <w:rPr>
                <w:rFonts w:ascii="Verdana" w:hAnsi="Verdana"/>
                <w:sz w:val="20"/>
                <w:lang w:val="en-US"/>
              </w:rPr>
            </w:pPr>
            <w:r>
              <w:rPr>
                <w:rFonts w:ascii="Verdana" w:hAnsi="Verdana"/>
                <w:sz w:val="20"/>
                <w:lang w:val="en-US"/>
              </w:rPr>
              <w:t>Andorra</w:t>
            </w:r>
          </w:p>
        </w:tc>
        <w:tc>
          <w:tcPr>
            <w:tcW w:w="2591" w:type="dxa"/>
            <w:vMerge/>
          </w:tcPr>
          <w:p w14:paraId="3FA1DBBC" w14:textId="77777777" w:rsidR="004F6211" w:rsidRDefault="004F6211" w:rsidP="004F6211">
            <w:pPr>
              <w:spacing w:line="24" w:lineRule="atLeast"/>
              <w:rPr>
                <w:rFonts w:ascii="Verdana" w:hAnsi="Verdana"/>
                <w:sz w:val="20"/>
                <w:lang w:val="en-US"/>
              </w:rPr>
            </w:pPr>
          </w:p>
        </w:tc>
      </w:tr>
      <w:tr w:rsidR="004F6211" w:rsidRPr="00790487" w14:paraId="130FF501" w14:textId="77777777" w:rsidTr="004F6211">
        <w:trPr>
          <w:jc w:val="center"/>
        </w:trPr>
        <w:tc>
          <w:tcPr>
            <w:tcW w:w="0" w:type="auto"/>
          </w:tcPr>
          <w:p w14:paraId="67E0C58F" w14:textId="77777777" w:rsidR="004F6211" w:rsidRPr="00790487" w:rsidRDefault="004F6211" w:rsidP="004F6211">
            <w:pPr>
              <w:spacing w:line="24" w:lineRule="atLeast"/>
              <w:rPr>
                <w:rFonts w:ascii="Verdana" w:hAnsi="Verdana"/>
                <w:sz w:val="20"/>
                <w:lang w:val="en-US"/>
              </w:rPr>
            </w:pPr>
            <w:r w:rsidRPr="004F6211">
              <w:rPr>
                <w:rFonts w:ascii="Verdana" w:hAnsi="Verdana"/>
                <w:sz w:val="20"/>
                <w:lang w:val="en-US"/>
              </w:rPr>
              <w:t>1 July – 31 December 2011</w:t>
            </w:r>
          </w:p>
        </w:tc>
        <w:tc>
          <w:tcPr>
            <w:tcW w:w="0" w:type="auto"/>
          </w:tcPr>
          <w:p w14:paraId="3507F569" w14:textId="77777777" w:rsidR="004F6211" w:rsidRDefault="004F6211" w:rsidP="004F6211">
            <w:pPr>
              <w:spacing w:line="24" w:lineRule="atLeast"/>
              <w:rPr>
                <w:rFonts w:ascii="Verdana" w:hAnsi="Verdana"/>
                <w:sz w:val="20"/>
                <w:lang w:val="en-US"/>
              </w:rPr>
            </w:pPr>
            <w:r>
              <w:rPr>
                <w:rFonts w:ascii="Verdana" w:hAnsi="Verdana"/>
                <w:sz w:val="20"/>
                <w:lang w:val="en-US"/>
              </w:rPr>
              <w:t>Poland</w:t>
            </w:r>
          </w:p>
        </w:tc>
        <w:tc>
          <w:tcPr>
            <w:tcW w:w="2003" w:type="dxa"/>
          </w:tcPr>
          <w:p w14:paraId="0D5E9DA8" w14:textId="77777777" w:rsidR="004F6211" w:rsidRDefault="004F6211" w:rsidP="004F6211">
            <w:pPr>
              <w:spacing w:line="24" w:lineRule="atLeast"/>
              <w:rPr>
                <w:rFonts w:ascii="Verdana" w:hAnsi="Verdana"/>
                <w:sz w:val="20"/>
                <w:lang w:val="en-US"/>
              </w:rPr>
            </w:pPr>
            <w:r>
              <w:rPr>
                <w:rFonts w:ascii="Verdana" w:hAnsi="Verdana"/>
                <w:sz w:val="20"/>
                <w:lang w:val="en-US"/>
              </w:rPr>
              <w:t>Armenia</w:t>
            </w:r>
          </w:p>
        </w:tc>
        <w:tc>
          <w:tcPr>
            <w:tcW w:w="2591" w:type="dxa"/>
            <w:vMerge/>
          </w:tcPr>
          <w:p w14:paraId="01D2E7B6" w14:textId="77777777" w:rsidR="004F6211" w:rsidRDefault="004F6211" w:rsidP="004F6211">
            <w:pPr>
              <w:spacing w:line="24" w:lineRule="atLeast"/>
              <w:rPr>
                <w:rFonts w:ascii="Verdana" w:hAnsi="Verdana"/>
                <w:sz w:val="20"/>
                <w:lang w:val="en-US"/>
              </w:rPr>
            </w:pPr>
          </w:p>
        </w:tc>
      </w:tr>
      <w:tr w:rsidR="004F6211" w:rsidRPr="00790487" w14:paraId="0A41A090" w14:textId="77777777" w:rsidTr="004F6211">
        <w:trPr>
          <w:jc w:val="center"/>
        </w:trPr>
        <w:tc>
          <w:tcPr>
            <w:tcW w:w="0" w:type="auto"/>
          </w:tcPr>
          <w:p w14:paraId="6636F092" w14:textId="77777777" w:rsidR="004F6211" w:rsidRPr="00790487" w:rsidRDefault="004F6211" w:rsidP="004F6211">
            <w:pPr>
              <w:spacing w:line="24" w:lineRule="atLeast"/>
              <w:rPr>
                <w:rFonts w:ascii="Verdana" w:hAnsi="Verdana"/>
                <w:sz w:val="20"/>
                <w:lang w:val="en-US"/>
              </w:rPr>
            </w:pPr>
            <w:r w:rsidRPr="004F6211">
              <w:rPr>
                <w:rFonts w:ascii="Verdana" w:hAnsi="Verdana"/>
                <w:sz w:val="20"/>
                <w:lang w:val="en-US"/>
              </w:rPr>
              <w:t>1 January - 30 June 2012</w:t>
            </w:r>
          </w:p>
        </w:tc>
        <w:tc>
          <w:tcPr>
            <w:tcW w:w="0" w:type="auto"/>
          </w:tcPr>
          <w:p w14:paraId="64B7ED46" w14:textId="77777777" w:rsidR="004F6211" w:rsidRDefault="004F6211" w:rsidP="004F6211">
            <w:pPr>
              <w:spacing w:line="24" w:lineRule="atLeast"/>
              <w:rPr>
                <w:rFonts w:ascii="Verdana" w:hAnsi="Verdana"/>
                <w:sz w:val="20"/>
                <w:lang w:val="en-US"/>
              </w:rPr>
            </w:pPr>
            <w:r>
              <w:rPr>
                <w:rFonts w:ascii="Verdana" w:hAnsi="Verdana"/>
                <w:sz w:val="20"/>
                <w:lang w:val="en-US"/>
              </w:rPr>
              <w:t>Denmark</w:t>
            </w:r>
          </w:p>
        </w:tc>
        <w:tc>
          <w:tcPr>
            <w:tcW w:w="2003" w:type="dxa"/>
          </w:tcPr>
          <w:p w14:paraId="7F168745" w14:textId="77777777" w:rsidR="004F6211" w:rsidRDefault="004F6211" w:rsidP="004F6211">
            <w:pPr>
              <w:spacing w:line="24" w:lineRule="atLeast"/>
              <w:rPr>
                <w:rFonts w:ascii="Verdana" w:hAnsi="Verdana"/>
                <w:sz w:val="20"/>
                <w:lang w:val="en-US"/>
              </w:rPr>
            </w:pPr>
            <w:r>
              <w:rPr>
                <w:rFonts w:ascii="Verdana" w:hAnsi="Verdana"/>
                <w:sz w:val="20"/>
                <w:lang w:val="en-US"/>
              </w:rPr>
              <w:t>Azerbaijan</w:t>
            </w:r>
          </w:p>
        </w:tc>
        <w:tc>
          <w:tcPr>
            <w:tcW w:w="2591" w:type="dxa"/>
            <w:vMerge/>
          </w:tcPr>
          <w:p w14:paraId="1E50510A" w14:textId="77777777" w:rsidR="004F6211" w:rsidRDefault="004F6211" w:rsidP="004F6211">
            <w:pPr>
              <w:spacing w:line="24" w:lineRule="atLeast"/>
              <w:rPr>
                <w:rFonts w:ascii="Verdana" w:hAnsi="Verdana"/>
                <w:sz w:val="20"/>
                <w:lang w:val="en-US"/>
              </w:rPr>
            </w:pPr>
          </w:p>
        </w:tc>
      </w:tr>
    </w:tbl>
    <w:p w14:paraId="12B96312" w14:textId="77777777" w:rsidR="004F6211" w:rsidRDefault="004F6211" w:rsidP="00B00FB7"/>
    <w:p w14:paraId="6D1A6A33" w14:textId="77777777" w:rsidR="00B00FB7" w:rsidRDefault="00B00FB7" w:rsidP="00B00FB7">
      <w:pPr>
        <w:rPr>
          <w:rFonts w:ascii="Verdana" w:hAnsi="Verdana"/>
          <w:lang w:val="en-US"/>
        </w:rPr>
      </w:pPr>
      <w:r w:rsidRPr="00B00FB7">
        <w:rPr>
          <w:rFonts w:ascii="Verdana" w:hAnsi="Verdana"/>
          <w:lang w:val="en-US"/>
        </w:rPr>
        <w:t>Provisional chairing arrangement July 2012 to June 2020</w:t>
      </w:r>
    </w:p>
    <w:tbl>
      <w:tblPr>
        <w:tblStyle w:val="Tabellenraster"/>
        <w:tblW w:w="0" w:type="auto"/>
        <w:jc w:val="center"/>
        <w:tblLayout w:type="fixed"/>
        <w:tblLook w:val="04A0" w:firstRow="1" w:lastRow="0" w:firstColumn="1" w:lastColumn="0" w:noHBand="0" w:noVBand="1"/>
      </w:tblPr>
      <w:tblGrid>
        <w:gridCol w:w="3085"/>
        <w:gridCol w:w="1843"/>
        <w:gridCol w:w="1984"/>
        <w:gridCol w:w="2664"/>
      </w:tblGrid>
      <w:tr w:rsidR="004F6211" w:rsidRPr="001A61B6" w14:paraId="6D93278E" w14:textId="77777777" w:rsidTr="004F6211">
        <w:trPr>
          <w:jc w:val="center"/>
        </w:trPr>
        <w:tc>
          <w:tcPr>
            <w:tcW w:w="3085" w:type="dxa"/>
            <w:shd w:val="clear" w:color="auto" w:fill="BFBFBF" w:themeFill="background1" w:themeFillShade="BF"/>
          </w:tcPr>
          <w:p w14:paraId="29691D5E" w14:textId="77777777" w:rsidR="004F6211" w:rsidRPr="00AC7E38" w:rsidRDefault="004F6211" w:rsidP="004F6211">
            <w:pPr>
              <w:tabs>
                <w:tab w:val="right" w:pos="8996"/>
              </w:tabs>
              <w:spacing w:line="24" w:lineRule="atLeast"/>
              <w:rPr>
                <w:rFonts w:ascii="Verdana" w:hAnsi="Verdana"/>
                <w:b/>
                <w:sz w:val="20"/>
                <w:highlight w:val="lightGray"/>
              </w:rPr>
            </w:pPr>
            <w:r>
              <w:rPr>
                <w:rFonts w:ascii="Verdana" w:hAnsi="Verdana"/>
                <w:b/>
                <w:sz w:val="20"/>
                <w:highlight w:val="lightGray"/>
              </w:rPr>
              <w:t>Semester</w:t>
            </w:r>
          </w:p>
        </w:tc>
        <w:tc>
          <w:tcPr>
            <w:tcW w:w="1843" w:type="dxa"/>
            <w:shd w:val="clear" w:color="auto" w:fill="BFBFBF" w:themeFill="background1" w:themeFillShade="BF"/>
          </w:tcPr>
          <w:p w14:paraId="409855EC" w14:textId="77777777" w:rsidR="004F6211" w:rsidRDefault="004F6211" w:rsidP="004F6211">
            <w:pPr>
              <w:tabs>
                <w:tab w:val="right" w:pos="8996"/>
              </w:tabs>
              <w:spacing w:line="24" w:lineRule="atLeast"/>
              <w:rPr>
                <w:rFonts w:ascii="Verdana" w:hAnsi="Verdana"/>
                <w:b/>
                <w:sz w:val="20"/>
                <w:highlight w:val="lightGray"/>
              </w:rPr>
            </w:pPr>
            <w:r>
              <w:rPr>
                <w:rFonts w:ascii="Verdana" w:hAnsi="Verdana"/>
                <w:b/>
                <w:sz w:val="20"/>
                <w:highlight w:val="lightGray"/>
              </w:rPr>
              <w:t>EU-Presidency</w:t>
            </w:r>
          </w:p>
        </w:tc>
        <w:tc>
          <w:tcPr>
            <w:tcW w:w="1984" w:type="dxa"/>
            <w:shd w:val="clear" w:color="auto" w:fill="BFBFBF" w:themeFill="background1" w:themeFillShade="BF"/>
          </w:tcPr>
          <w:p w14:paraId="2F25101C" w14:textId="77777777" w:rsidR="004F6211" w:rsidRPr="00BA54BD" w:rsidRDefault="004F6211" w:rsidP="004F6211">
            <w:pPr>
              <w:tabs>
                <w:tab w:val="right" w:pos="8996"/>
              </w:tabs>
              <w:spacing w:after="0" w:line="240" w:lineRule="auto"/>
              <w:rPr>
                <w:rFonts w:ascii="Verdana" w:hAnsi="Verdana"/>
                <w:b/>
                <w:sz w:val="20"/>
                <w:highlight w:val="lightGray"/>
                <w:lang w:val="en-US"/>
              </w:rPr>
            </w:pPr>
            <w:r w:rsidRPr="00BA54BD">
              <w:rPr>
                <w:rFonts w:ascii="Verdana" w:hAnsi="Verdana"/>
                <w:b/>
                <w:sz w:val="20"/>
                <w:highlight w:val="lightGray"/>
                <w:lang w:val="en-US"/>
              </w:rPr>
              <w:t>Chair from</w:t>
            </w:r>
          </w:p>
          <w:p w14:paraId="3BE7BFB0" w14:textId="77777777" w:rsidR="004F6211" w:rsidRPr="00BA54BD" w:rsidRDefault="004F6211" w:rsidP="004F6211">
            <w:pPr>
              <w:tabs>
                <w:tab w:val="right" w:pos="8996"/>
              </w:tabs>
              <w:spacing w:line="24" w:lineRule="atLeast"/>
              <w:rPr>
                <w:rFonts w:ascii="Verdana" w:hAnsi="Verdana"/>
                <w:b/>
                <w:sz w:val="20"/>
                <w:highlight w:val="lightGray"/>
                <w:lang w:val="en-US"/>
              </w:rPr>
            </w:pPr>
            <w:r w:rsidRPr="00BA54BD">
              <w:rPr>
                <w:rFonts w:ascii="Verdana" w:hAnsi="Verdana"/>
                <w:b/>
                <w:sz w:val="20"/>
                <w:highlight w:val="lightGray"/>
                <w:lang w:val="en-US"/>
              </w:rPr>
              <w:t>non-EU country</w:t>
            </w:r>
          </w:p>
        </w:tc>
        <w:tc>
          <w:tcPr>
            <w:tcW w:w="2664" w:type="dxa"/>
            <w:shd w:val="clear" w:color="auto" w:fill="BFBFBF" w:themeFill="background1" w:themeFillShade="BF"/>
          </w:tcPr>
          <w:p w14:paraId="44B1A1A6" w14:textId="77777777" w:rsidR="004F6211" w:rsidRDefault="004F6211" w:rsidP="004F6211">
            <w:pPr>
              <w:tabs>
                <w:tab w:val="right" w:pos="8996"/>
              </w:tabs>
              <w:spacing w:line="24" w:lineRule="atLeast"/>
              <w:rPr>
                <w:rFonts w:ascii="Verdana" w:hAnsi="Verdana"/>
                <w:b/>
                <w:sz w:val="20"/>
                <w:highlight w:val="lightGray"/>
              </w:rPr>
            </w:pPr>
            <w:r>
              <w:rPr>
                <w:rFonts w:ascii="Verdana" w:hAnsi="Verdana"/>
                <w:b/>
                <w:sz w:val="20"/>
                <w:highlight w:val="lightGray"/>
              </w:rPr>
              <w:t>Vice-Chair</w:t>
            </w:r>
          </w:p>
        </w:tc>
      </w:tr>
      <w:tr w:rsidR="004F6211" w:rsidRPr="00B148F3" w14:paraId="7ECD7232" w14:textId="77777777" w:rsidTr="004F6211">
        <w:trPr>
          <w:jc w:val="center"/>
        </w:trPr>
        <w:tc>
          <w:tcPr>
            <w:tcW w:w="3085" w:type="dxa"/>
          </w:tcPr>
          <w:p w14:paraId="41617303" w14:textId="77777777" w:rsidR="004F6211" w:rsidRPr="00790487" w:rsidRDefault="004F6211" w:rsidP="004F6211">
            <w:pPr>
              <w:spacing w:line="24" w:lineRule="atLeast"/>
              <w:rPr>
                <w:rFonts w:ascii="Verdana" w:hAnsi="Verdana"/>
                <w:sz w:val="20"/>
                <w:lang w:val="en-US"/>
              </w:rPr>
            </w:pPr>
            <w:r w:rsidRPr="004F6211">
              <w:rPr>
                <w:rFonts w:ascii="Verdana" w:hAnsi="Verdana"/>
                <w:sz w:val="20"/>
                <w:lang w:val="en-US"/>
              </w:rPr>
              <w:t>1 July – 31 December 2012</w:t>
            </w:r>
          </w:p>
        </w:tc>
        <w:tc>
          <w:tcPr>
            <w:tcW w:w="1843" w:type="dxa"/>
          </w:tcPr>
          <w:p w14:paraId="528620D1" w14:textId="77777777" w:rsidR="004F6211" w:rsidRPr="00790487" w:rsidRDefault="004F6211" w:rsidP="004F6211">
            <w:pPr>
              <w:spacing w:line="24" w:lineRule="atLeast"/>
              <w:rPr>
                <w:rFonts w:ascii="Verdana" w:hAnsi="Verdana"/>
                <w:sz w:val="20"/>
                <w:lang w:val="en-US"/>
              </w:rPr>
            </w:pPr>
            <w:r>
              <w:rPr>
                <w:rFonts w:ascii="Verdana" w:hAnsi="Verdana"/>
                <w:sz w:val="20"/>
                <w:lang w:val="en-US"/>
              </w:rPr>
              <w:t>Cyprus</w:t>
            </w:r>
          </w:p>
        </w:tc>
        <w:tc>
          <w:tcPr>
            <w:tcW w:w="1984" w:type="dxa"/>
          </w:tcPr>
          <w:p w14:paraId="7EA5CCE3" w14:textId="77777777" w:rsidR="004F6211" w:rsidRPr="00790487" w:rsidRDefault="004F6211" w:rsidP="004F6211">
            <w:pPr>
              <w:spacing w:line="24" w:lineRule="atLeast"/>
              <w:rPr>
                <w:rFonts w:ascii="Verdana" w:hAnsi="Verdana"/>
                <w:sz w:val="20"/>
                <w:lang w:val="en-US"/>
              </w:rPr>
            </w:pPr>
            <w:r w:rsidRPr="004F6211">
              <w:rPr>
                <w:rFonts w:ascii="Verdana" w:hAnsi="Verdana"/>
                <w:sz w:val="20"/>
                <w:lang w:val="en-US"/>
              </w:rPr>
              <w:t>Bosnia and Herzegovina</w:t>
            </w:r>
          </w:p>
        </w:tc>
        <w:tc>
          <w:tcPr>
            <w:tcW w:w="2664" w:type="dxa"/>
            <w:vMerge w:val="restart"/>
          </w:tcPr>
          <w:p w14:paraId="39B20DF0" w14:textId="77777777" w:rsidR="004F6211" w:rsidRPr="00790487" w:rsidRDefault="004F6211" w:rsidP="004F6211">
            <w:pPr>
              <w:spacing w:line="24" w:lineRule="atLeast"/>
              <w:rPr>
                <w:rFonts w:ascii="Verdana" w:hAnsi="Verdana"/>
                <w:sz w:val="20"/>
                <w:lang w:val="en-US"/>
              </w:rPr>
            </w:pPr>
            <w:r>
              <w:rPr>
                <w:rFonts w:ascii="Verdana" w:hAnsi="Verdana"/>
                <w:sz w:val="20"/>
                <w:lang w:val="en-US"/>
              </w:rPr>
              <w:t>Host of 2015 Ministerial Conference (not known yet)</w:t>
            </w:r>
          </w:p>
        </w:tc>
      </w:tr>
      <w:tr w:rsidR="004F6211" w:rsidRPr="00790487" w14:paraId="5BBCC53C" w14:textId="77777777" w:rsidTr="004F6211">
        <w:trPr>
          <w:jc w:val="center"/>
        </w:trPr>
        <w:tc>
          <w:tcPr>
            <w:tcW w:w="3085" w:type="dxa"/>
          </w:tcPr>
          <w:p w14:paraId="2AA2E958" w14:textId="77777777" w:rsidR="004F6211" w:rsidRPr="00790487" w:rsidRDefault="004F6211" w:rsidP="004F6211">
            <w:pPr>
              <w:rPr>
                <w:rFonts w:ascii="Verdana" w:hAnsi="Verdana"/>
                <w:sz w:val="20"/>
                <w:lang w:val="en-US"/>
              </w:rPr>
            </w:pPr>
            <w:r w:rsidRPr="004F6211">
              <w:rPr>
                <w:rFonts w:ascii="Verdana" w:hAnsi="Verdana"/>
                <w:sz w:val="20"/>
                <w:lang w:val="en-US"/>
              </w:rPr>
              <w:t>1 January - 30 June 2013</w:t>
            </w:r>
          </w:p>
        </w:tc>
        <w:tc>
          <w:tcPr>
            <w:tcW w:w="1843" w:type="dxa"/>
          </w:tcPr>
          <w:p w14:paraId="46DE8E24" w14:textId="77777777" w:rsidR="004F6211" w:rsidRDefault="004F6211" w:rsidP="004F6211">
            <w:pPr>
              <w:spacing w:line="24" w:lineRule="atLeast"/>
              <w:rPr>
                <w:rFonts w:ascii="Verdana" w:hAnsi="Verdana"/>
                <w:sz w:val="20"/>
                <w:lang w:val="en-US"/>
              </w:rPr>
            </w:pPr>
            <w:r>
              <w:rPr>
                <w:rFonts w:ascii="Verdana" w:hAnsi="Verdana"/>
                <w:sz w:val="20"/>
                <w:lang w:val="en-US"/>
              </w:rPr>
              <w:t>Ireland</w:t>
            </w:r>
          </w:p>
        </w:tc>
        <w:tc>
          <w:tcPr>
            <w:tcW w:w="1984" w:type="dxa"/>
          </w:tcPr>
          <w:p w14:paraId="62FFC541" w14:textId="77777777" w:rsidR="004F6211" w:rsidRDefault="004F6211" w:rsidP="004F6211">
            <w:pPr>
              <w:spacing w:line="24" w:lineRule="atLeast"/>
              <w:rPr>
                <w:rFonts w:ascii="Verdana" w:hAnsi="Verdana"/>
                <w:sz w:val="20"/>
                <w:lang w:val="en-US"/>
              </w:rPr>
            </w:pPr>
            <w:r>
              <w:rPr>
                <w:rFonts w:ascii="Verdana" w:hAnsi="Verdana"/>
                <w:sz w:val="20"/>
                <w:lang w:val="en-US"/>
              </w:rPr>
              <w:t>Croatia</w:t>
            </w:r>
          </w:p>
        </w:tc>
        <w:tc>
          <w:tcPr>
            <w:tcW w:w="2664" w:type="dxa"/>
            <w:vMerge/>
          </w:tcPr>
          <w:p w14:paraId="093F4813" w14:textId="77777777" w:rsidR="004F6211" w:rsidRDefault="004F6211" w:rsidP="004F6211">
            <w:pPr>
              <w:spacing w:line="24" w:lineRule="atLeast"/>
              <w:rPr>
                <w:rFonts w:ascii="Verdana" w:hAnsi="Verdana"/>
                <w:sz w:val="20"/>
                <w:lang w:val="en-US"/>
              </w:rPr>
            </w:pPr>
          </w:p>
        </w:tc>
      </w:tr>
      <w:tr w:rsidR="004F6211" w:rsidRPr="00790487" w14:paraId="18E1D08A" w14:textId="77777777" w:rsidTr="004F6211">
        <w:trPr>
          <w:jc w:val="center"/>
        </w:trPr>
        <w:tc>
          <w:tcPr>
            <w:tcW w:w="3085" w:type="dxa"/>
          </w:tcPr>
          <w:p w14:paraId="73E781CF" w14:textId="77777777" w:rsidR="004F6211" w:rsidRPr="00790487" w:rsidRDefault="004F6211" w:rsidP="004F6211">
            <w:pPr>
              <w:spacing w:line="24" w:lineRule="atLeast"/>
              <w:rPr>
                <w:rFonts w:ascii="Verdana" w:hAnsi="Verdana"/>
                <w:sz w:val="20"/>
                <w:lang w:val="en-US"/>
              </w:rPr>
            </w:pPr>
            <w:r w:rsidRPr="004F6211">
              <w:rPr>
                <w:rFonts w:ascii="Verdana" w:hAnsi="Verdana"/>
                <w:sz w:val="20"/>
                <w:lang w:val="en-US"/>
              </w:rPr>
              <w:t>1 July – 31 December 2013</w:t>
            </w:r>
          </w:p>
        </w:tc>
        <w:tc>
          <w:tcPr>
            <w:tcW w:w="1843" w:type="dxa"/>
          </w:tcPr>
          <w:p w14:paraId="136BDB70" w14:textId="77777777" w:rsidR="004F6211" w:rsidRDefault="004F6211" w:rsidP="004F6211">
            <w:pPr>
              <w:spacing w:line="24" w:lineRule="atLeast"/>
              <w:rPr>
                <w:rFonts w:ascii="Verdana" w:hAnsi="Verdana"/>
                <w:sz w:val="20"/>
                <w:lang w:val="en-US"/>
              </w:rPr>
            </w:pPr>
            <w:r>
              <w:rPr>
                <w:rFonts w:ascii="Verdana" w:hAnsi="Verdana"/>
                <w:sz w:val="20"/>
                <w:lang w:val="en-US"/>
              </w:rPr>
              <w:t>Lithuania</w:t>
            </w:r>
          </w:p>
        </w:tc>
        <w:tc>
          <w:tcPr>
            <w:tcW w:w="1984" w:type="dxa"/>
          </w:tcPr>
          <w:p w14:paraId="2BCE0745" w14:textId="77777777" w:rsidR="004F6211" w:rsidRDefault="004F6211" w:rsidP="004F6211">
            <w:pPr>
              <w:spacing w:line="24" w:lineRule="atLeast"/>
              <w:rPr>
                <w:rFonts w:ascii="Verdana" w:hAnsi="Verdana"/>
                <w:sz w:val="20"/>
                <w:lang w:val="en-US"/>
              </w:rPr>
            </w:pPr>
            <w:r>
              <w:rPr>
                <w:rFonts w:ascii="Verdana" w:hAnsi="Verdana"/>
                <w:sz w:val="20"/>
                <w:lang w:val="en-US"/>
              </w:rPr>
              <w:t>Georgia</w:t>
            </w:r>
          </w:p>
        </w:tc>
        <w:tc>
          <w:tcPr>
            <w:tcW w:w="2664" w:type="dxa"/>
            <w:vMerge/>
          </w:tcPr>
          <w:p w14:paraId="19F9A2A8" w14:textId="77777777" w:rsidR="004F6211" w:rsidRDefault="004F6211" w:rsidP="004F6211">
            <w:pPr>
              <w:spacing w:line="24" w:lineRule="atLeast"/>
              <w:rPr>
                <w:rFonts w:ascii="Verdana" w:hAnsi="Verdana"/>
                <w:sz w:val="20"/>
                <w:lang w:val="en-US"/>
              </w:rPr>
            </w:pPr>
          </w:p>
        </w:tc>
      </w:tr>
      <w:tr w:rsidR="004F6211" w:rsidRPr="00790487" w14:paraId="1719EDDA" w14:textId="77777777" w:rsidTr="004F6211">
        <w:trPr>
          <w:jc w:val="center"/>
        </w:trPr>
        <w:tc>
          <w:tcPr>
            <w:tcW w:w="3085" w:type="dxa"/>
          </w:tcPr>
          <w:p w14:paraId="2A09F8E1" w14:textId="77777777" w:rsidR="004F6211" w:rsidRPr="00790487" w:rsidRDefault="004F6211" w:rsidP="004F6211">
            <w:pPr>
              <w:spacing w:line="24" w:lineRule="atLeast"/>
              <w:rPr>
                <w:rFonts w:ascii="Verdana" w:hAnsi="Verdana"/>
                <w:sz w:val="20"/>
                <w:lang w:val="en-US"/>
              </w:rPr>
            </w:pPr>
            <w:r w:rsidRPr="004F6211">
              <w:rPr>
                <w:rFonts w:ascii="Verdana" w:hAnsi="Verdana"/>
                <w:sz w:val="20"/>
                <w:lang w:val="en-US"/>
              </w:rPr>
              <w:t>1 January - 30 June 2014</w:t>
            </w:r>
          </w:p>
        </w:tc>
        <w:tc>
          <w:tcPr>
            <w:tcW w:w="1843" w:type="dxa"/>
          </w:tcPr>
          <w:p w14:paraId="5B9D92CC" w14:textId="77777777" w:rsidR="004F6211" w:rsidRDefault="004F6211" w:rsidP="004F6211">
            <w:pPr>
              <w:spacing w:line="24" w:lineRule="atLeast"/>
              <w:rPr>
                <w:rFonts w:ascii="Verdana" w:hAnsi="Verdana"/>
                <w:sz w:val="20"/>
                <w:lang w:val="en-US"/>
              </w:rPr>
            </w:pPr>
            <w:r>
              <w:rPr>
                <w:rFonts w:ascii="Verdana" w:hAnsi="Verdana"/>
                <w:sz w:val="20"/>
                <w:lang w:val="en-US"/>
              </w:rPr>
              <w:t>Greece</w:t>
            </w:r>
          </w:p>
        </w:tc>
        <w:tc>
          <w:tcPr>
            <w:tcW w:w="1984" w:type="dxa"/>
          </w:tcPr>
          <w:p w14:paraId="47158BC1" w14:textId="77777777" w:rsidR="004F6211" w:rsidRDefault="004F6211" w:rsidP="004F6211">
            <w:pPr>
              <w:spacing w:line="24" w:lineRule="atLeast"/>
              <w:rPr>
                <w:rFonts w:ascii="Verdana" w:hAnsi="Verdana"/>
                <w:sz w:val="20"/>
                <w:lang w:val="en-US"/>
              </w:rPr>
            </w:pPr>
            <w:r>
              <w:rPr>
                <w:rFonts w:ascii="Verdana" w:hAnsi="Verdana"/>
                <w:sz w:val="20"/>
                <w:lang w:val="en-US"/>
              </w:rPr>
              <w:t>Holy See</w:t>
            </w:r>
          </w:p>
        </w:tc>
        <w:tc>
          <w:tcPr>
            <w:tcW w:w="2664" w:type="dxa"/>
            <w:vMerge/>
          </w:tcPr>
          <w:p w14:paraId="209F3751" w14:textId="77777777" w:rsidR="004F6211" w:rsidRDefault="004F6211" w:rsidP="004F6211">
            <w:pPr>
              <w:spacing w:line="24" w:lineRule="atLeast"/>
              <w:rPr>
                <w:rFonts w:ascii="Verdana" w:hAnsi="Verdana"/>
                <w:sz w:val="20"/>
                <w:lang w:val="en-US"/>
              </w:rPr>
            </w:pPr>
          </w:p>
        </w:tc>
      </w:tr>
      <w:tr w:rsidR="004F6211" w:rsidRPr="00790487" w14:paraId="056A67F7" w14:textId="77777777" w:rsidTr="004F6211">
        <w:trPr>
          <w:jc w:val="center"/>
        </w:trPr>
        <w:tc>
          <w:tcPr>
            <w:tcW w:w="3085" w:type="dxa"/>
          </w:tcPr>
          <w:p w14:paraId="58C68C5A" w14:textId="77777777" w:rsidR="004F6211" w:rsidRPr="004F6211" w:rsidRDefault="004F6211" w:rsidP="004F6211">
            <w:pPr>
              <w:spacing w:line="24" w:lineRule="atLeast"/>
              <w:rPr>
                <w:rFonts w:ascii="Verdana" w:hAnsi="Verdana"/>
                <w:sz w:val="20"/>
                <w:lang w:val="en-US"/>
              </w:rPr>
            </w:pPr>
            <w:r w:rsidRPr="004F6211">
              <w:rPr>
                <w:rFonts w:ascii="Verdana" w:hAnsi="Verdana"/>
                <w:sz w:val="20"/>
                <w:lang w:val="en-US"/>
              </w:rPr>
              <w:t>1 July – 31 December 2014</w:t>
            </w:r>
          </w:p>
        </w:tc>
        <w:tc>
          <w:tcPr>
            <w:tcW w:w="1843" w:type="dxa"/>
          </w:tcPr>
          <w:p w14:paraId="54032F76" w14:textId="77777777" w:rsidR="004F6211" w:rsidRDefault="004F6211" w:rsidP="004F6211">
            <w:pPr>
              <w:spacing w:line="24" w:lineRule="atLeast"/>
              <w:rPr>
                <w:rFonts w:ascii="Verdana" w:hAnsi="Verdana"/>
                <w:sz w:val="20"/>
                <w:lang w:val="en-US"/>
              </w:rPr>
            </w:pPr>
            <w:r>
              <w:rPr>
                <w:rFonts w:ascii="Verdana" w:hAnsi="Verdana"/>
                <w:sz w:val="20"/>
                <w:lang w:val="en-US"/>
              </w:rPr>
              <w:t>Italy</w:t>
            </w:r>
          </w:p>
        </w:tc>
        <w:tc>
          <w:tcPr>
            <w:tcW w:w="1984" w:type="dxa"/>
          </w:tcPr>
          <w:p w14:paraId="1940A8BF" w14:textId="77777777" w:rsidR="004F6211" w:rsidRDefault="004F6211" w:rsidP="004F6211">
            <w:pPr>
              <w:spacing w:line="24" w:lineRule="atLeast"/>
              <w:rPr>
                <w:rFonts w:ascii="Verdana" w:hAnsi="Verdana"/>
                <w:sz w:val="20"/>
                <w:lang w:val="en-US"/>
              </w:rPr>
            </w:pPr>
            <w:r>
              <w:rPr>
                <w:rFonts w:ascii="Verdana" w:hAnsi="Verdana"/>
                <w:sz w:val="20"/>
                <w:lang w:val="en-US"/>
              </w:rPr>
              <w:t>Iceland</w:t>
            </w:r>
          </w:p>
        </w:tc>
        <w:tc>
          <w:tcPr>
            <w:tcW w:w="2664" w:type="dxa"/>
            <w:vMerge/>
          </w:tcPr>
          <w:p w14:paraId="609669EC" w14:textId="77777777" w:rsidR="004F6211" w:rsidRDefault="004F6211" w:rsidP="004F6211">
            <w:pPr>
              <w:spacing w:line="24" w:lineRule="atLeast"/>
              <w:rPr>
                <w:rFonts w:ascii="Verdana" w:hAnsi="Verdana"/>
                <w:sz w:val="20"/>
                <w:lang w:val="en-US"/>
              </w:rPr>
            </w:pPr>
          </w:p>
        </w:tc>
      </w:tr>
      <w:tr w:rsidR="004F6211" w:rsidRPr="00790487" w14:paraId="387156E0" w14:textId="77777777" w:rsidTr="004F6211">
        <w:trPr>
          <w:jc w:val="center"/>
        </w:trPr>
        <w:tc>
          <w:tcPr>
            <w:tcW w:w="3085" w:type="dxa"/>
          </w:tcPr>
          <w:p w14:paraId="5E23316A" w14:textId="77777777" w:rsidR="004F6211" w:rsidRPr="004F6211" w:rsidRDefault="004F6211" w:rsidP="004F6211">
            <w:pPr>
              <w:spacing w:line="24" w:lineRule="atLeast"/>
              <w:rPr>
                <w:rFonts w:ascii="Verdana" w:hAnsi="Verdana"/>
                <w:sz w:val="20"/>
                <w:lang w:val="en-US"/>
              </w:rPr>
            </w:pPr>
            <w:r w:rsidRPr="004F6211">
              <w:rPr>
                <w:rFonts w:ascii="Verdana" w:hAnsi="Verdana"/>
                <w:sz w:val="20"/>
                <w:lang w:val="en-US"/>
              </w:rPr>
              <w:t>1 January - 30 June 2015</w:t>
            </w:r>
          </w:p>
        </w:tc>
        <w:tc>
          <w:tcPr>
            <w:tcW w:w="1843" w:type="dxa"/>
          </w:tcPr>
          <w:p w14:paraId="072BA2AD" w14:textId="77777777" w:rsidR="004F6211" w:rsidRDefault="004F6211" w:rsidP="004F6211">
            <w:pPr>
              <w:spacing w:line="24" w:lineRule="atLeast"/>
              <w:rPr>
                <w:rFonts w:ascii="Verdana" w:hAnsi="Verdana"/>
                <w:sz w:val="20"/>
                <w:lang w:val="en-US"/>
              </w:rPr>
            </w:pPr>
            <w:r>
              <w:rPr>
                <w:rFonts w:ascii="Verdana" w:hAnsi="Verdana"/>
                <w:sz w:val="20"/>
                <w:lang w:val="en-US"/>
              </w:rPr>
              <w:t>Latvia</w:t>
            </w:r>
          </w:p>
        </w:tc>
        <w:tc>
          <w:tcPr>
            <w:tcW w:w="1984" w:type="dxa"/>
          </w:tcPr>
          <w:p w14:paraId="300C814B" w14:textId="77777777" w:rsidR="004F6211" w:rsidRDefault="004F6211" w:rsidP="004F6211">
            <w:pPr>
              <w:spacing w:line="24" w:lineRule="atLeast"/>
              <w:rPr>
                <w:rFonts w:ascii="Verdana" w:hAnsi="Verdana"/>
                <w:sz w:val="20"/>
                <w:lang w:val="en-US"/>
              </w:rPr>
            </w:pPr>
            <w:r w:rsidRPr="004F6211">
              <w:rPr>
                <w:rFonts w:ascii="Verdana" w:hAnsi="Verdana"/>
                <w:sz w:val="20"/>
                <w:lang w:val="en-US"/>
              </w:rPr>
              <w:t>Liechtenstein</w:t>
            </w:r>
          </w:p>
        </w:tc>
        <w:tc>
          <w:tcPr>
            <w:tcW w:w="2664" w:type="dxa"/>
            <w:vMerge/>
          </w:tcPr>
          <w:p w14:paraId="6AC8E7CB" w14:textId="77777777" w:rsidR="004F6211" w:rsidRDefault="004F6211" w:rsidP="004F6211">
            <w:pPr>
              <w:spacing w:line="24" w:lineRule="atLeast"/>
              <w:rPr>
                <w:rFonts w:ascii="Verdana" w:hAnsi="Verdana"/>
                <w:sz w:val="20"/>
                <w:lang w:val="en-US"/>
              </w:rPr>
            </w:pPr>
          </w:p>
        </w:tc>
      </w:tr>
      <w:tr w:rsidR="004F6211" w:rsidRPr="00B148F3" w14:paraId="47B62795" w14:textId="77777777" w:rsidTr="004F6211">
        <w:trPr>
          <w:jc w:val="center"/>
        </w:trPr>
        <w:tc>
          <w:tcPr>
            <w:tcW w:w="3085" w:type="dxa"/>
          </w:tcPr>
          <w:p w14:paraId="6F1E9A3A" w14:textId="77777777" w:rsidR="004F6211" w:rsidRPr="004F6211" w:rsidRDefault="004F6211" w:rsidP="004F6211">
            <w:pPr>
              <w:spacing w:line="24" w:lineRule="atLeast"/>
              <w:rPr>
                <w:rFonts w:ascii="Verdana" w:hAnsi="Verdana"/>
                <w:sz w:val="20"/>
                <w:lang w:val="en-US"/>
              </w:rPr>
            </w:pPr>
            <w:r>
              <w:rPr>
                <w:rFonts w:ascii="Verdana" w:hAnsi="Verdana"/>
                <w:sz w:val="20"/>
                <w:lang w:val="en-US"/>
              </w:rPr>
              <w:t xml:space="preserve">1 </w:t>
            </w:r>
            <w:r w:rsidRPr="004F6211">
              <w:rPr>
                <w:rFonts w:ascii="Verdana" w:hAnsi="Verdana"/>
                <w:sz w:val="20"/>
                <w:lang w:val="en-US"/>
              </w:rPr>
              <w:t>July – 31 December 2015</w:t>
            </w:r>
          </w:p>
        </w:tc>
        <w:tc>
          <w:tcPr>
            <w:tcW w:w="1843" w:type="dxa"/>
          </w:tcPr>
          <w:p w14:paraId="040F8E85" w14:textId="77777777" w:rsidR="004F6211" w:rsidRDefault="004F6211" w:rsidP="004F6211">
            <w:pPr>
              <w:spacing w:line="24" w:lineRule="atLeast"/>
              <w:rPr>
                <w:rFonts w:ascii="Verdana" w:hAnsi="Verdana"/>
                <w:sz w:val="20"/>
                <w:lang w:val="en-US"/>
              </w:rPr>
            </w:pPr>
            <w:r>
              <w:rPr>
                <w:rFonts w:ascii="Verdana" w:hAnsi="Verdana"/>
                <w:sz w:val="20"/>
                <w:lang w:val="en-US"/>
              </w:rPr>
              <w:t>Luxembourg</w:t>
            </w:r>
          </w:p>
        </w:tc>
        <w:tc>
          <w:tcPr>
            <w:tcW w:w="1984" w:type="dxa"/>
          </w:tcPr>
          <w:p w14:paraId="63DB4A13" w14:textId="77777777" w:rsidR="004F6211" w:rsidRDefault="004F6211" w:rsidP="004F6211">
            <w:pPr>
              <w:spacing w:line="24" w:lineRule="atLeast"/>
              <w:rPr>
                <w:rFonts w:ascii="Verdana" w:hAnsi="Verdana"/>
                <w:sz w:val="20"/>
                <w:lang w:val="en-US"/>
              </w:rPr>
            </w:pPr>
            <w:r>
              <w:rPr>
                <w:rFonts w:ascii="Verdana" w:hAnsi="Verdana"/>
                <w:sz w:val="20"/>
                <w:lang w:val="en-US"/>
              </w:rPr>
              <w:t>Moldova</w:t>
            </w:r>
          </w:p>
        </w:tc>
        <w:tc>
          <w:tcPr>
            <w:tcW w:w="2664" w:type="dxa"/>
            <w:vMerge w:val="restart"/>
          </w:tcPr>
          <w:p w14:paraId="6EB598DC" w14:textId="77777777" w:rsidR="004F6211" w:rsidRPr="00790487" w:rsidRDefault="004F6211" w:rsidP="004F6211">
            <w:pPr>
              <w:spacing w:line="24" w:lineRule="atLeast"/>
              <w:rPr>
                <w:rFonts w:ascii="Verdana" w:hAnsi="Verdana"/>
                <w:sz w:val="20"/>
                <w:lang w:val="en-US"/>
              </w:rPr>
            </w:pPr>
            <w:r>
              <w:rPr>
                <w:rFonts w:ascii="Verdana" w:hAnsi="Verdana"/>
                <w:sz w:val="20"/>
                <w:lang w:val="en-US"/>
              </w:rPr>
              <w:t>Host of 2018 Ministerial Conference (not known yet)</w:t>
            </w:r>
          </w:p>
        </w:tc>
      </w:tr>
      <w:tr w:rsidR="004F6211" w:rsidRPr="00790487" w14:paraId="2B350EAA" w14:textId="77777777" w:rsidTr="004F6211">
        <w:trPr>
          <w:jc w:val="center"/>
        </w:trPr>
        <w:tc>
          <w:tcPr>
            <w:tcW w:w="3085" w:type="dxa"/>
          </w:tcPr>
          <w:p w14:paraId="32195C1E" w14:textId="77777777" w:rsidR="004F6211" w:rsidRPr="004F6211" w:rsidRDefault="004F6211" w:rsidP="004F6211">
            <w:pPr>
              <w:spacing w:line="24" w:lineRule="atLeast"/>
              <w:rPr>
                <w:rFonts w:ascii="Verdana" w:hAnsi="Verdana"/>
                <w:sz w:val="20"/>
                <w:lang w:val="en-US"/>
              </w:rPr>
            </w:pPr>
            <w:r w:rsidRPr="004F6211">
              <w:rPr>
                <w:rFonts w:ascii="Verdana" w:hAnsi="Verdana"/>
                <w:sz w:val="20"/>
                <w:lang w:val="en-US"/>
              </w:rPr>
              <w:t>1 January - 30 June 2016</w:t>
            </w:r>
          </w:p>
        </w:tc>
        <w:tc>
          <w:tcPr>
            <w:tcW w:w="1843" w:type="dxa"/>
          </w:tcPr>
          <w:p w14:paraId="11EFAE56" w14:textId="77777777" w:rsidR="004F6211" w:rsidRDefault="004F6211" w:rsidP="004F6211">
            <w:pPr>
              <w:spacing w:line="24" w:lineRule="atLeast"/>
              <w:rPr>
                <w:rFonts w:ascii="Verdana" w:hAnsi="Verdana"/>
                <w:sz w:val="20"/>
                <w:lang w:val="en-US"/>
              </w:rPr>
            </w:pPr>
            <w:r w:rsidRPr="004F6211">
              <w:rPr>
                <w:rFonts w:ascii="Verdana" w:hAnsi="Verdana"/>
                <w:sz w:val="20"/>
                <w:lang w:val="en-US"/>
              </w:rPr>
              <w:t>Netherlands</w:t>
            </w:r>
          </w:p>
        </w:tc>
        <w:tc>
          <w:tcPr>
            <w:tcW w:w="1984" w:type="dxa"/>
          </w:tcPr>
          <w:p w14:paraId="32FFDF00" w14:textId="77777777" w:rsidR="004F6211" w:rsidRDefault="004F6211" w:rsidP="004F6211">
            <w:pPr>
              <w:spacing w:line="24" w:lineRule="atLeast"/>
              <w:rPr>
                <w:rFonts w:ascii="Verdana" w:hAnsi="Verdana"/>
                <w:sz w:val="20"/>
                <w:lang w:val="en-US"/>
              </w:rPr>
            </w:pPr>
            <w:r w:rsidRPr="004F6211">
              <w:rPr>
                <w:rFonts w:ascii="Verdana" w:hAnsi="Verdana"/>
                <w:sz w:val="20"/>
                <w:lang w:val="en-US"/>
              </w:rPr>
              <w:t>Montenegro</w:t>
            </w:r>
          </w:p>
        </w:tc>
        <w:tc>
          <w:tcPr>
            <w:tcW w:w="2664" w:type="dxa"/>
            <w:vMerge/>
          </w:tcPr>
          <w:p w14:paraId="1D1AE0F6" w14:textId="77777777" w:rsidR="004F6211" w:rsidRDefault="004F6211" w:rsidP="004F6211">
            <w:pPr>
              <w:spacing w:line="24" w:lineRule="atLeast"/>
              <w:rPr>
                <w:rFonts w:ascii="Verdana" w:hAnsi="Verdana"/>
                <w:sz w:val="20"/>
                <w:lang w:val="en-US"/>
              </w:rPr>
            </w:pPr>
          </w:p>
        </w:tc>
      </w:tr>
      <w:tr w:rsidR="004F6211" w:rsidRPr="00790487" w14:paraId="580991BC" w14:textId="77777777" w:rsidTr="004F6211">
        <w:trPr>
          <w:jc w:val="center"/>
        </w:trPr>
        <w:tc>
          <w:tcPr>
            <w:tcW w:w="3085" w:type="dxa"/>
          </w:tcPr>
          <w:p w14:paraId="2D806CAC" w14:textId="77777777" w:rsidR="004F6211" w:rsidRPr="004F6211" w:rsidRDefault="004F6211" w:rsidP="004F6211">
            <w:pPr>
              <w:spacing w:line="24" w:lineRule="atLeast"/>
              <w:rPr>
                <w:rFonts w:ascii="Verdana" w:hAnsi="Verdana"/>
                <w:sz w:val="20"/>
                <w:lang w:val="en-US"/>
              </w:rPr>
            </w:pPr>
            <w:r w:rsidRPr="004F6211">
              <w:rPr>
                <w:rFonts w:ascii="Verdana" w:hAnsi="Verdana"/>
                <w:sz w:val="20"/>
                <w:lang w:val="en-US"/>
              </w:rPr>
              <w:t>1 July – 31 December 2016</w:t>
            </w:r>
          </w:p>
        </w:tc>
        <w:tc>
          <w:tcPr>
            <w:tcW w:w="1843" w:type="dxa"/>
          </w:tcPr>
          <w:p w14:paraId="32D5BEF4" w14:textId="77777777" w:rsidR="004F6211" w:rsidRDefault="004F6211" w:rsidP="004F6211">
            <w:pPr>
              <w:spacing w:line="24" w:lineRule="atLeast"/>
              <w:rPr>
                <w:rFonts w:ascii="Verdana" w:hAnsi="Verdana"/>
                <w:sz w:val="20"/>
                <w:lang w:val="en-US"/>
              </w:rPr>
            </w:pPr>
            <w:r w:rsidRPr="004F6211">
              <w:rPr>
                <w:rFonts w:ascii="Verdana" w:hAnsi="Verdana"/>
                <w:sz w:val="20"/>
                <w:lang w:val="en-US"/>
              </w:rPr>
              <w:t>Slovakia</w:t>
            </w:r>
          </w:p>
        </w:tc>
        <w:tc>
          <w:tcPr>
            <w:tcW w:w="1984" w:type="dxa"/>
          </w:tcPr>
          <w:p w14:paraId="4D0B6085" w14:textId="77777777" w:rsidR="004F6211" w:rsidRDefault="004F6211" w:rsidP="004F6211">
            <w:pPr>
              <w:spacing w:line="24" w:lineRule="atLeast"/>
              <w:rPr>
                <w:rFonts w:ascii="Verdana" w:hAnsi="Verdana"/>
                <w:sz w:val="20"/>
                <w:lang w:val="en-US"/>
              </w:rPr>
            </w:pPr>
            <w:r w:rsidRPr="004F6211">
              <w:rPr>
                <w:rFonts w:ascii="Verdana" w:hAnsi="Verdana"/>
                <w:sz w:val="20"/>
                <w:lang w:val="en-US"/>
              </w:rPr>
              <w:t>Norway</w:t>
            </w:r>
          </w:p>
        </w:tc>
        <w:tc>
          <w:tcPr>
            <w:tcW w:w="2664" w:type="dxa"/>
            <w:vMerge/>
          </w:tcPr>
          <w:p w14:paraId="4882ABE7" w14:textId="77777777" w:rsidR="004F6211" w:rsidRDefault="004F6211" w:rsidP="004F6211">
            <w:pPr>
              <w:spacing w:line="24" w:lineRule="atLeast"/>
              <w:rPr>
                <w:rFonts w:ascii="Verdana" w:hAnsi="Verdana"/>
                <w:sz w:val="20"/>
                <w:lang w:val="en-US"/>
              </w:rPr>
            </w:pPr>
          </w:p>
        </w:tc>
      </w:tr>
      <w:tr w:rsidR="004F6211" w:rsidRPr="00790487" w14:paraId="337DF42C" w14:textId="77777777" w:rsidTr="004F6211">
        <w:trPr>
          <w:jc w:val="center"/>
        </w:trPr>
        <w:tc>
          <w:tcPr>
            <w:tcW w:w="3085" w:type="dxa"/>
          </w:tcPr>
          <w:p w14:paraId="0228CAD1" w14:textId="77777777" w:rsidR="004F6211" w:rsidRPr="004F6211" w:rsidRDefault="004F6211" w:rsidP="004F6211">
            <w:pPr>
              <w:spacing w:line="24" w:lineRule="atLeast"/>
              <w:rPr>
                <w:rFonts w:ascii="Verdana" w:hAnsi="Verdana"/>
                <w:sz w:val="20"/>
                <w:lang w:val="en-US"/>
              </w:rPr>
            </w:pPr>
            <w:r w:rsidRPr="004F6211">
              <w:rPr>
                <w:rFonts w:ascii="Verdana" w:hAnsi="Verdana"/>
                <w:sz w:val="20"/>
                <w:lang w:val="en-US"/>
              </w:rPr>
              <w:t>1 January - 30 June 2017</w:t>
            </w:r>
          </w:p>
        </w:tc>
        <w:tc>
          <w:tcPr>
            <w:tcW w:w="1843" w:type="dxa"/>
          </w:tcPr>
          <w:p w14:paraId="71F96E84" w14:textId="77777777" w:rsidR="004F6211" w:rsidRDefault="004F6211" w:rsidP="004F6211">
            <w:pPr>
              <w:spacing w:line="24" w:lineRule="atLeast"/>
              <w:rPr>
                <w:rFonts w:ascii="Verdana" w:hAnsi="Verdana"/>
                <w:sz w:val="20"/>
                <w:lang w:val="en-US"/>
              </w:rPr>
            </w:pPr>
            <w:r w:rsidRPr="004F6211">
              <w:rPr>
                <w:rFonts w:ascii="Verdana" w:hAnsi="Verdana"/>
                <w:sz w:val="20"/>
                <w:lang w:val="en-US"/>
              </w:rPr>
              <w:t>Malta</w:t>
            </w:r>
          </w:p>
        </w:tc>
        <w:tc>
          <w:tcPr>
            <w:tcW w:w="1984" w:type="dxa"/>
          </w:tcPr>
          <w:p w14:paraId="0911BFCF" w14:textId="77777777" w:rsidR="004F6211" w:rsidRDefault="004F6211" w:rsidP="004F6211">
            <w:pPr>
              <w:spacing w:line="24" w:lineRule="atLeast"/>
              <w:rPr>
                <w:rFonts w:ascii="Verdana" w:hAnsi="Verdana"/>
                <w:sz w:val="20"/>
                <w:lang w:val="en-US"/>
              </w:rPr>
            </w:pPr>
            <w:r w:rsidRPr="004F6211">
              <w:rPr>
                <w:rFonts w:ascii="Verdana" w:hAnsi="Verdana"/>
                <w:sz w:val="20"/>
                <w:lang w:val="en-US"/>
              </w:rPr>
              <w:t>Russian Federation</w:t>
            </w:r>
          </w:p>
        </w:tc>
        <w:tc>
          <w:tcPr>
            <w:tcW w:w="2664" w:type="dxa"/>
            <w:vMerge/>
          </w:tcPr>
          <w:p w14:paraId="08F82A5D" w14:textId="77777777" w:rsidR="004F6211" w:rsidRDefault="004F6211" w:rsidP="004F6211">
            <w:pPr>
              <w:spacing w:line="24" w:lineRule="atLeast"/>
              <w:rPr>
                <w:rFonts w:ascii="Verdana" w:hAnsi="Verdana"/>
                <w:sz w:val="20"/>
                <w:lang w:val="en-US"/>
              </w:rPr>
            </w:pPr>
          </w:p>
        </w:tc>
      </w:tr>
      <w:tr w:rsidR="004F6211" w:rsidRPr="00790487" w14:paraId="1EC0E2B7" w14:textId="77777777" w:rsidTr="004F6211">
        <w:trPr>
          <w:jc w:val="center"/>
        </w:trPr>
        <w:tc>
          <w:tcPr>
            <w:tcW w:w="3085" w:type="dxa"/>
          </w:tcPr>
          <w:p w14:paraId="020D1348" w14:textId="77777777" w:rsidR="004F6211" w:rsidRPr="004F6211" w:rsidRDefault="004F6211" w:rsidP="004F6211">
            <w:pPr>
              <w:spacing w:line="24" w:lineRule="atLeast"/>
              <w:rPr>
                <w:rFonts w:ascii="Verdana" w:hAnsi="Verdana"/>
                <w:sz w:val="20"/>
                <w:lang w:val="en-US"/>
              </w:rPr>
            </w:pPr>
            <w:r w:rsidRPr="004F6211">
              <w:rPr>
                <w:rFonts w:ascii="Verdana" w:hAnsi="Verdana"/>
                <w:sz w:val="20"/>
                <w:lang w:val="en-US"/>
              </w:rPr>
              <w:t>1 July – 31 December 2017</w:t>
            </w:r>
          </w:p>
        </w:tc>
        <w:tc>
          <w:tcPr>
            <w:tcW w:w="1843" w:type="dxa"/>
          </w:tcPr>
          <w:p w14:paraId="4AA955B9" w14:textId="77777777" w:rsidR="004F6211" w:rsidRDefault="004F6211" w:rsidP="004F6211">
            <w:pPr>
              <w:spacing w:line="24" w:lineRule="atLeast"/>
              <w:rPr>
                <w:rFonts w:ascii="Verdana" w:hAnsi="Verdana"/>
                <w:sz w:val="20"/>
                <w:lang w:val="en-US"/>
              </w:rPr>
            </w:pPr>
            <w:r w:rsidRPr="004F6211">
              <w:rPr>
                <w:rFonts w:ascii="Verdana" w:hAnsi="Verdana"/>
                <w:sz w:val="20"/>
                <w:lang w:val="en-US"/>
              </w:rPr>
              <w:t>United Kingdom</w:t>
            </w:r>
          </w:p>
        </w:tc>
        <w:tc>
          <w:tcPr>
            <w:tcW w:w="1984" w:type="dxa"/>
          </w:tcPr>
          <w:p w14:paraId="5D4A6643" w14:textId="77777777" w:rsidR="004F6211" w:rsidRDefault="004F6211" w:rsidP="004F6211">
            <w:pPr>
              <w:spacing w:line="24" w:lineRule="atLeast"/>
              <w:rPr>
                <w:rFonts w:ascii="Verdana" w:hAnsi="Verdana"/>
                <w:sz w:val="20"/>
                <w:lang w:val="en-US"/>
              </w:rPr>
            </w:pPr>
            <w:r w:rsidRPr="004F6211">
              <w:rPr>
                <w:rFonts w:ascii="Verdana" w:hAnsi="Verdana"/>
                <w:sz w:val="20"/>
                <w:lang w:val="en-US"/>
              </w:rPr>
              <w:t>Serbia</w:t>
            </w:r>
          </w:p>
        </w:tc>
        <w:tc>
          <w:tcPr>
            <w:tcW w:w="2664" w:type="dxa"/>
            <w:vMerge/>
          </w:tcPr>
          <w:p w14:paraId="0A41F0D5" w14:textId="77777777" w:rsidR="004F6211" w:rsidRDefault="004F6211" w:rsidP="004F6211">
            <w:pPr>
              <w:spacing w:line="24" w:lineRule="atLeast"/>
              <w:rPr>
                <w:rFonts w:ascii="Verdana" w:hAnsi="Verdana"/>
                <w:sz w:val="20"/>
                <w:lang w:val="en-US"/>
              </w:rPr>
            </w:pPr>
          </w:p>
        </w:tc>
      </w:tr>
      <w:tr w:rsidR="004F6211" w:rsidRPr="00790487" w14:paraId="13798BF6" w14:textId="77777777" w:rsidTr="004F6211">
        <w:trPr>
          <w:jc w:val="center"/>
        </w:trPr>
        <w:tc>
          <w:tcPr>
            <w:tcW w:w="3085" w:type="dxa"/>
          </w:tcPr>
          <w:p w14:paraId="68C636F5" w14:textId="77777777" w:rsidR="004F6211" w:rsidRPr="004F6211" w:rsidRDefault="004F6211" w:rsidP="004F6211">
            <w:pPr>
              <w:spacing w:line="24" w:lineRule="atLeast"/>
              <w:rPr>
                <w:rFonts w:ascii="Verdana" w:hAnsi="Verdana"/>
                <w:sz w:val="20"/>
                <w:lang w:val="en-US"/>
              </w:rPr>
            </w:pPr>
            <w:r w:rsidRPr="004F6211">
              <w:rPr>
                <w:rFonts w:ascii="Verdana" w:hAnsi="Verdana"/>
                <w:sz w:val="20"/>
                <w:lang w:val="en-US"/>
              </w:rPr>
              <w:t>1 January - 30 June 2018</w:t>
            </w:r>
          </w:p>
        </w:tc>
        <w:tc>
          <w:tcPr>
            <w:tcW w:w="1843" w:type="dxa"/>
          </w:tcPr>
          <w:p w14:paraId="173742DA" w14:textId="77777777" w:rsidR="004F6211" w:rsidRDefault="004F6211" w:rsidP="004F6211">
            <w:pPr>
              <w:spacing w:line="24" w:lineRule="atLeast"/>
              <w:rPr>
                <w:rFonts w:ascii="Verdana" w:hAnsi="Verdana"/>
                <w:sz w:val="20"/>
                <w:lang w:val="en-US"/>
              </w:rPr>
            </w:pPr>
            <w:r w:rsidRPr="004F6211">
              <w:rPr>
                <w:rFonts w:ascii="Verdana" w:hAnsi="Verdana"/>
                <w:sz w:val="20"/>
                <w:lang w:val="en-US"/>
              </w:rPr>
              <w:t>Estonia</w:t>
            </w:r>
          </w:p>
        </w:tc>
        <w:tc>
          <w:tcPr>
            <w:tcW w:w="1984" w:type="dxa"/>
          </w:tcPr>
          <w:p w14:paraId="3E0C639C" w14:textId="77777777" w:rsidR="004F6211" w:rsidRDefault="004F6211" w:rsidP="004F6211">
            <w:pPr>
              <w:spacing w:line="24" w:lineRule="atLeast"/>
              <w:rPr>
                <w:rFonts w:ascii="Verdana" w:hAnsi="Verdana"/>
                <w:sz w:val="20"/>
                <w:lang w:val="en-US"/>
              </w:rPr>
            </w:pPr>
            <w:r w:rsidRPr="004F6211">
              <w:rPr>
                <w:rFonts w:ascii="Verdana" w:hAnsi="Verdana"/>
                <w:sz w:val="20"/>
                <w:lang w:val="en-US"/>
              </w:rPr>
              <w:t>Switzerland</w:t>
            </w:r>
          </w:p>
        </w:tc>
        <w:tc>
          <w:tcPr>
            <w:tcW w:w="2664" w:type="dxa"/>
            <w:vMerge/>
          </w:tcPr>
          <w:p w14:paraId="7C563D45" w14:textId="77777777" w:rsidR="004F6211" w:rsidRDefault="004F6211" w:rsidP="004F6211">
            <w:pPr>
              <w:spacing w:line="24" w:lineRule="atLeast"/>
              <w:rPr>
                <w:rFonts w:ascii="Verdana" w:hAnsi="Verdana"/>
                <w:sz w:val="20"/>
                <w:lang w:val="en-US"/>
              </w:rPr>
            </w:pPr>
          </w:p>
        </w:tc>
      </w:tr>
      <w:tr w:rsidR="004F6211" w:rsidRPr="00B148F3" w14:paraId="77E1FDA7" w14:textId="77777777" w:rsidTr="004F6211">
        <w:trPr>
          <w:jc w:val="center"/>
        </w:trPr>
        <w:tc>
          <w:tcPr>
            <w:tcW w:w="3085" w:type="dxa"/>
          </w:tcPr>
          <w:p w14:paraId="38FB14A4" w14:textId="77777777" w:rsidR="004F6211" w:rsidRPr="004F6211" w:rsidRDefault="004F6211" w:rsidP="004F6211">
            <w:pPr>
              <w:spacing w:line="24" w:lineRule="atLeast"/>
              <w:rPr>
                <w:rFonts w:ascii="Verdana" w:hAnsi="Verdana"/>
                <w:sz w:val="20"/>
                <w:lang w:val="en-US"/>
              </w:rPr>
            </w:pPr>
            <w:r w:rsidRPr="004F6211">
              <w:rPr>
                <w:rFonts w:ascii="Verdana" w:hAnsi="Verdana"/>
                <w:sz w:val="20"/>
                <w:lang w:val="en-US"/>
              </w:rPr>
              <w:t>1 July – 31 December 2018</w:t>
            </w:r>
          </w:p>
        </w:tc>
        <w:tc>
          <w:tcPr>
            <w:tcW w:w="1843" w:type="dxa"/>
          </w:tcPr>
          <w:p w14:paraId="13539ADE" w14:textId="77777777" w:rsidR="004F6211" w:rsidRDefault="004F6211" w:rsidP="004F6211">
            <w:pPr>
              <w:spacing w:line="24" w:lineRule="atLeast"/>
              <w:rPr>
                <w:rFonts w:ascii="Verdana" w:hAnsi="Verdana"/>
                <w:sz w:val="20"/>
                <w:lang w:val="en-US"/>
              </w:rPr>
            </w:pPr>
            <w:r w:rsidRPr="004F6211">
              <w:rPr>
                <w:rFonts w:ascii="Verdana" w:hAnsi="Verdana"/>
                <w:sz w:val="20"/>
                <w:lang w:val="en-US"/>
              </w:rPr>
              <w:t>Bulgaria</w:t>
            </w:r>
          </w:p>
        </w:tc>
        <w:tc>
          <w:tcPr>
            <w:tcW w:w="1984" w:type="dxa"/>
          </w:tcPr>
          <w:p w14:paraId="0968EE79" w14:textId="77777777" w:rsidR="004F6211" w:rsidRDefault="004F6211" w:rsidP="004F6211">
            <w:pPr>
              <w:spacing w:line="24" w:lineRule="atLeast"/>
              <w:rPr>
                <w:rFonts w:ascii="Verdana" w:hAnsi="Verdana"/>
                <w:sz w:val="20"/>
                <w:lang w:val="en-US"/>
              </w:rPr>
            </w:pPr>
            <w:r w:rsidRPr="004F6211">
              <w:rPr>
                <w:rFonts w:ascii="Verdana" w:hAnsi="Verdana"/>
                <w:sz w:val="20"/>
                <w:lang w:val="en-US"/>
              </w:rPr>
              <w:t>“the former Yugoslav Republic of Macedonia”</w:t>
            </w:r>
          </w:p>
        </w:tc>
        <w:tc>
          <w:tcPr>
            <w:tcW w:w="2664" w:type="dxa"/>
            <w:vMerge w:val="restart"/>
          </w:tcPr>
          <w:p w14:paraId="199157CC" w14:textId="77777777" w:rsidR="004F6211" w:rsidRPr="00790487" w:rsidRDefault="004F6211" w:rsidP="004F6211">
            <w:pPr>
              <w:spacing w:line="24" w:lineRule="atLeast"/>
              <w:rPr>
                <w:rFonts w:ascii="Verdana" w:hAnsi="Verdana"/>
                <w:sz w:val="20"/>
                <w:lang w:val="en-US"/>
              </w:rPr>
            </w:pPr>
            <w:r>
              <w:rPr>
                <w:rFonts w:ascii="Verdana" w:hAnsi="Verdana"/>
                <w:sz w:val="20"/>
                <w:lang w:val="en-US"/>
              </w:rPr>
              <w:t>Host of 2020 Ministerial Conference (not known yet)</w:t>
            </w:r>
          </w:p>
        </w:tc>
      </w:tr>
      <w:tr w:rsidR="004F6211" w:rsidRPr="00790487" w14:paraId="37F10FFA" w14:textId="77777777" w:rsidTr="004F6211">
        <w:trPr>
          <w:jc w:val="center"/>
        </w:trPr>
        <w:tc>
          <w:tcPr>
            <w:tcW w:w="3085" w:type="dxa"/>
          </w:tcPr>
          <w:p w14:paraId="33CCF9FD" w14:textId="77777777" w:rsidR="004F6211" w:rsidRPr="004F6211" w:rsidRDefault="004F6211" w:rsidP="004F6211">
            <w:pPr>
              <w:spacing w:line="24" w:lineRule="atLeast"/>
              <w:rPr>
                <w:rFonts w:ascii="Verdana" w:hAnsi="Verdana"/>
                <w:sz w:val="20"/>
                <w:lang w:val="en-US"/>
              </w:rPr>
            </w:pPr>
            <w:r w:rsidRPr="004F6211">
              <w:rPr>
                <w:rFonts w:ascii="Verdana" w:hAnsi="Verdana"/>
                <w:sz w:val="20"/>
                <w:lang w:val="en-US"/>
              </w:rPr>
              <w:t>1 January - 30 June 2019</w:t>
            </w:r>
          </w:p>
        </w:tc>
        <w:tc>
          <w:tcPr>
            <w:tcW w:w="1843" w:type="dxa"/>
          </w:tcPr>
          <w:p w14:paraId="599F1E60" w14:textId="77777777" w:rsidR="004F6211" w:rsidRDefault="004F6211" w:rsidP="004F6211">
            <w:pPr>
              <w:spacing w:line="24" w:lineRule="atLeast"/>
              <w:rPr>
                <w:rFonts w:ascii="Verdana" w:hAnsi="Verdana"/>
                <w:sz w:val="20"/>
                <w:lang w:val="en-US"/>
              </w:rPr>
            </w:pPr>
            <w:r w:rsidRPr="004F6211">
              <w:rPr>
                <w:rFonts w:ascii="Verdana" w:hAnsi="Verdana"/>
                <w:sz w:val="20"/>
                <w:lang w:val="en-US"/>
              </w:rPr>
              <w:t>Austria</w:t>
            </w:r>
          </w:p>
        </w:tc>
        <w:tc>
          <w:tcPr>
            <w:tcW w:w="1984" w:type="dxa"/>
          </w:tcPr>
          <w:p w14:paraId="485D1CF2" w14:textId="77777777" w:rsidR="004F6211" w:rsidRDefault="004F6211" w:rsidP="004F6211">
            <w:pPr>
              <w:spacing w:line="24" w:lineRule="atLeast"/>
              <w:rPr>
                <w:rFonts w:ascii="Verdana" w:hAnsi="Verdana"/>
                <w:sz w:val="20"/>
                <w:lang w:val="en-US"/>
              </w:rPr>
            </w:pPr>
            <w:r w:rsidRPr="004F6211">
              <w:rPr>
                <w:rFonts w:ascii="Verdana" w:hAnsi="Verdana"/>
                <w:sz w:val="20"/>
                <w:lang w:val="en-US"/>
              </w:rPr>
              <w:t>Turkey</w:t>
            </w:r>
          </w:p>
        </w:tc>
        <w:tc>
          <w:tcPr>
            <w:tcW w:w="2664" w:type="dxa"/>
            <w:vMerge/>
          </w:tcPr>
          <w:p w14:paraId="372C421C" w14:textId="77777777" w:rsidR="004F6211" w:rsidRDefault="004F6211" w:rsidP="004F6211">
            <w:pPr>
              <w:spacing w:line="24" w:lineRule="atLeast"/>
              <w:rPr>
                <w:rFonts w:ascii="Verdana" w:hAnsi="Verdana"/>
                <w:sz w:val="20"/>
                <w:lang w:val="en-US"/>
              </w:rPr>
            </w:pPr>
          </w:p>
        </w:tc>
      </w:tr>
      <w:tr w:rsidR="004F6211" w:rsidRPr="00790487" w14:paraId="1E137C57" w14:textId="77777777" w:rsidTr="004F6211">
        <w:trPr>
          <w:jc w:val="center"/>
        </w:trPr>
        <w:tc>
          <w:tcPr>
            <w:tcW w:w="3085" w:type="dxa"/>
          </w:tcPr>
          <w:p w14:paraId="35FEC190" w14:textId="77777777" w:rsidR="004F6211" w:rsidRPr="004F6211" w:rsidRDefault="004F6211" w:rsidP="004F6211">
            <w:pPr>
              <w:spacing w:line="24" w:lineRule="atLeast"/>
              <w:rPr>
                <w:rFonts w:ascii="Verdana" w:hAnsi="Verdana"/>
                <w:sz w:val="20"/>
                <w:lang w:val="en-US"/>
              </w:rPr>
            </w:pPr>
            <w:r w:rsidRPr="004F6211">
              <w:rPr>
                <w:rFonts w:ascii="Verdana" w:hAnsi="Verdana"/>
                <w:sz w:val="20"/>
                <w:lang w:val="en-US"/>
              </w:rPr>
              <w:t>1 July – 31 December 2019</w:t>
            </w:r>
          </w:p>
        </w:tc>
        <w:tc>
          <w:tcPr>
            <w:tcW w:w="1843" w:type="dxa"/>
          </w:tcPr>
          <w:p w14:paraId="09547FB1" w14:textId="77777777" w:rsidR="004F6211" w:rsidRDefault="004F6211" w:rsidP="004F6211">
            <w:pPr>
              <w:spacing w:line="24" w:lineRule="atLeast"/>
              <w:rPr>
                <w:rFonts w:ascii="Verdana" w:hAnsi="Verdana"/>
                <w:sz w:val="20"/>
                <w:lang w:val="en-US"/>
              </w:rPr>
            </w:pPr>
            <w:r w:rsidRPr="004F6211">
              <w:rPr>
                <w:rFonts w:ascii="Verdana" w:hAnsi="Verdana"/>
                <w:sz w:val="20"/>
                <w:lang w:val="en-US"/>
              </w:rPr>
              <w:t>Romania</w:t>
            </w:r>
          </w:p>
        </w:tc>
        <w:tc>
          <w:tcPr>
            <w:tcW w:w="1984" w:type="dxa"/>
          </w:tcPr>
          <w:p w14:paraId="09B35CA1" w14:textId="77777777" w:rsidR="004F6211" w:rsidRDefault="004F6211" w:rsidP="004F6211">
            <w:pPr>
              <w:spacing w:line="24" w:lineRule="atLeast"/>
              <w:rPr>
                <w:rFonts w:ascii="Verdana" w:hAnsi="Verdana"/>
                <w:sz w:val="20"/>
                <w:lang w:val="en-US"/>
              </w:rPr>
            </w:pPr>
            <w:r w:rsidRPr="004F6211">
              <w:rPr>
                <w:rFonts w:ascii="Verdana" w:hAnsi="Verdana"/>
                <w:sz w:val="20"/>
                <w:lang w:val="en-US"/>
              </w:rPr>
              <w:t>Ukraine</w:t>
            </w:r>
          </w:p>
        </w:tc>
        <w:tc>
          <w:tcPr>
            <w:tcW w:w="2664" w:type="dxa"/>
            <w:vMerge/>
          </w:tcPr>
          <w:p w14:paraId="40F55039" w14:textId="77777777" w:rsidR="004F6211" w:rsidRDefault="004F6211" w:rsidP="004F6211">
            <w:pPr>
              <w:spacing w:line="24" w:lineRule="atLeast"/>
              <w:rPr>
                <w:rFonts w:ascii="Verdana" w:hAnsi="Verdana"/>
                <w:sz w:val="20"/>
                <w:lang w:val="en-US"/>
              </w:rPr>
            </w:pPr>
          </w:p>
        </w:tc>
      </w:tr>
      <w:tr w:rsidR="004F6211" w:rsidRPr="00790487" w14:paraId="19EF42C7" w14:textId="77777777" w:rsidTr="004F6211">
        <w:trPr>
          <w:jc w:val="center"/>
        </w:trPr>
        <w:tc>
          <w:tcPr>
            <w:tcW w:w="3085" w:type="dxa"/>
          </w:tcPr>
          <w:p w14:paraId="6C95E314" w14:textId="77777777" w:rsidR="004F6211" w:rsidRPr="004F6211" w:rsidRDefault="004F6211" w:rsidP="004F6211">
            <w:pPr>
              <w:spacing w:line="24" w:lineRule="atLeast"/>
              <w:rPr>
                <w:rFonts w:ascii="Verdana" w:hAnsi="Verdana"/>
                <w:sz w:val="20"/>
                <w:lang w:val="en-US"/>
              </w:rPr>
            </w:pPr>
            <w:r w:rsidRPr="004F6211">
              <w:rPr>
                <w:rFonts w:ascii="Verdana" w:hAnsi="Verdana"/>
                <w:sz w:val="20"/>
                <w:lang w:val="en-US"/>
              </w:rPr>
              <w:t>1 January - 30 June 2020</w:t>
            </w:r>
          </w:p>
        </w:tc>
        <w:tc>
          <w:tcPr>
            <w:tcW w:w="1843" w:type="dxa"/>
          </w:tcPr>
          <w:p w14:paraId="4D356F6D" w14:textId="77777777" w:rsidR="004F6211" w:rsidRDefault="004F6211" w:rsidP="004F6211">
            <w:pPr>
              <w:spacing w:line="24" w:lineRule="atLeast"/>
              <w:rPr>
                <w:rFonts w:ascii="Verdana" w:hAnsi="Verdana"/>
                <w:sz w:val="20"/>
                <w:lang w:val="en-US"/>
              </w:rPr>
            </w:pPr>
            <w:r w:rsidRPr="004F6211">
              <w:rPr>
                <w:rFonts w:ascii="Verdana" w:hAnsi="Verdana"/>
                <w:sz w:val="20"/>
                <w:lang w:val="en-US"/>
              </w:rPr>
              <w:t>Finland</w:t>
            </w:r>
          </w:p>
        </w:tc>
        <w:tc>
          <w:tcPr>
            <w:tcW w:w="1984" w:type="dxa"/>
          </w:tcPr>
          <w:p w14:paraId="16007780" w14:textId="77777777" w:rsidR="004F6211" w:rsidRDefault="004F6211" w:rsidP="004F6211">
            <w:pPr>
              <w:spacing w:line="24" w:lineRule="atLeast"/>
              <w:rPr>
                <w:rFonts w:ascii="Verdana" w:hAnsi="Verdana"/>
                <w:sz w:val="20"/>
                <w:lang w:val="en-US"/>
              </w:rPr>
            </w:pPr>
            <w:r>
              <w:rPr>
                <w:rFonts w:ascii="Verdana" w:hAnsi="Verdana"/>
                <w:sz w:val="20"/>
                <w:lang w:val="en-US"/>
              </w:rPr>
              <w:t>tbc</w:t>
            </w:r>
          </w:p>
        </w:tc>
        <w:tc>
          <w:tcPr>
            <w:tcW w:w="2664" w:type="dxa"/>
            <w:vMerge/>
          </w:tcPr>
          <w:p w14:paraId="2AF5273E" w14:textId="77777777" w:rsidR="004F6211" w:rsidRDefault="004F6211" w:rsidP="004F6211">
            <w:pPr>
              <w:spacing w:line="24" w:lineRule="atLeast"/>
              <w:rPr>
                <w:rFonts w:ascii="Verdana" w:hAnsi="Verdana"/>
                <w:sz w:val="20"/>
                <w:lang w:val="en-US"/>
              </w:rPr>
            </w:pPr>
          </w:p>
        </w:tc>
      </w:tr>
    </w:tbl>
    <w:p w14:paraId="0AE18A30" w14:textId="77777777" w:rsidR="004F6211" w:rsidRPr="00FD1581" w:rsidRDefault="004F6211" w:rsidP="004F6211">
      <w:pPr>
        <w:spacing w:line="24" w:lineRule="atLeast"/>
      </w:pPr>
    </w:p>
    <w:p w14:paraId="097F0844" w14:textId="77777777" w:rsidR="00B00FB7" w:rsidRPr="00B00FB7" w:rsidRDefault="00B00FB7" w:rsidP="00D0051E">
      <w:pPr>
        <w:pStyle w:val="berschrift2"/>
      </w:pPr>
      <w:r w:rsidRPr="00B00FB7">
        <w:lastRenderedPageBreak/>
        <w:t>￼General tasks of countries chairing the Bologna Process</w:t>
      </w:r>
    </w:p>
    <w:p w14:paraId="696CCE59" w14:textId="77777777" w:rsidR="004F6211" w:rsidRDefault="004F6211" w:rsidP="00B00FB7">
      <w:pPr>
        <w:rPr>
          <w:rFonts w:ascii="Verdana" w:hAnsi="Verdana"/>
          <w:lang w:val="en-US"/>
        </w:rPr>
      </w:pPr>
    </w:p>
    <w:p w14:paraId="0E352EA3" w14:textId="77777777" w:rsidR="00B00FB7" w:rsidRPr="00B00FB7" w:rsidRDefault="00B00FB7" w:rsidP="00B00FB7">
      <w:pPr>
        <w:rPr>
          <w:rFonts w:ascii="Verdana" w:hAnsi="Verdana"/>
          <w:lang w:val="en-US"/>
        </w:rPr>
      </w:pPr>
      <w:r w:rsidRPr="00B00FB7">
        <w:rPr>
          <w:rFonts w:ascii="Verdana" w:hAnsi="Verdana"/>
          <w:lang w:val="en-US"/>
        </w:rPr>
        <w:t>The Chairs have a joint responsibility to take forward the aims and actions laid down by Ministers responsible for Higher Education in the Bologna Declaration and subsequent Communiqués of Ministerial Conferences. They hold the chair both at the Bologna Ministerial Meetings and the Bologna Policy Forum as well as in the sessions of the Bologna Follow-up Group or BFUG Board meetings. They jointly represent the Bologna Process in European and international fora.</w:t>
      </w:r>
    </w:p>
    <w:p w14:paraId="294AD1D2" w14:textId="77777777" w:rsidR="00B00FB7" w:rsidRDefault="00B00FB7" w:rsidP="00B00FB7">
      <w:pPr>
        <w:rPr>
          <w:rFonts w:ascii="Verdana" w:hAnsi="Verdana"/>
          <w:lang w:val="en-US"/>
        </w:rPr>
      </w:pPr>
      <w:r w:rsidRPr="00B00FB7">
        <w:rPr>
          <w:rFonts w:ascii="Verdana" w:hAnsi="Verdana"/>
          <w:lang w:val="en-US"/>
        </w:rPr>
        <w:t>In the decision-making process the chairs assume the task to lead the way towards compromise in cases of controversy, and to provide political impetus for moving the Bologna Process forward.</w:t>
      </w:r>
    </w:p>
    <w:p w14:paraId="36603E61" w14:textId="77777777" w:rsidR="004F6211" w:rsidRPr="00B00FB7" w:rsidRDefault="004F6211" w:rsidP="00B00FB7">
      <w:pPr>
        <w:rPr>
          <w:rFonts w:ascii="Verdana" w:hAnsi="Verdana"/>
          <w:lang w:val="en-US"/>
        </w:rPr>
      </w:pPr>
    </w:p>
    <w:p w14:paraId="2545E7F5" w14:textId="77777777" w:rsidR="00B00FB7" w:rsidRDefault="00B00FB7" w:rsidP="004F6211">
      <w:pPr>
        <w:pStyle w:val="berschrift1"/>
      </w:pPr>
      <w:r w:rsidRPr="00B00FB7">
        <w:t>2. PERMANENT EHEA WEBSITE</w:t>
      </w:r>
    </w:p>
    <w:p w14:paraId="05E057E2" w14:textId="77777777" w:rsidR="004F6211" w:rsidRPr="00BA54BD" w:rsidRDefault="004F6211" w:rsidP="004F6211">
      <w:pPr>
        <w:rPr>
          <w:lang w:val="en-US"/>
        </w:rPr>
      </w:pPr>
    </w:p>
    <w:p w14:paraId="0A981D38" w14:textId="77777777" w:rsidR="00B00FB7" w:rsidRPr="00B00FB7" w:rsidRDefault="00B00FB7" w:rsidP="00B00FB7">
      <w:pPr>
        <w:rPr>
          <w:rFonts w:ascii="Verdana" w:hAnsi="Verdana"/>
          <w:lang w:val="en-US"/>
        </w:rPr>
      </w:pPr>
      <w:r w:rsidRPr="00B00FB7">
        <w:rPr>
          <w:rFonts w:ascii="Verdana" w:hAnsi="Verdana"/>
          <w:lang w:val="en-US"/>
        </w:rPr>
        <w:t xml:space="preserve">With the launch of the European Higher Education Area, a permanent EHEA website </w:t>
      </w:r>
      <w:hyperlink r:id="rId11" w:history="1">
        <w:r w:rsidR="004F6211" w:rsidRPr="00354917">
          <w:rPr>
            <w:rStyle w:val="Hyperlink"/>
            <w:rFonts w:ascii="Verdana" w:hAnsi="Verdana"/>
            <w:lang w:val="en-US"/>
          </w:rPr>
          <w:t>http://www.ehea.info</w:t>
        </w:r>
      </w:hyperlink>
      <w:r w:rsidR="004F6211">
        <w:rPr>
          <w:rFonts w:ascii="Verdana" w:hAnsi="Verdana"/>
          <w:lang w:val="en-US"/>
        </w:rPr>
        <w:t xml:space="preserve"> </w:t>
      </w:r>
      <w:r w:rsidRPr="00B00FB7">
        <w:rPr>
          <w:rFonts w:ascii="Verdana" w:hAnsi="Verdana"/>
          <w:lang w:val="en-US"/>
        </w:rPr>
        <w:t>will be established, which will be serviced and maintained by the Bologna Secretariat with support from the Bologna Follow-up Group.</w:t>
      </w:r>
    </w:p>
    <w:p w14:paraId="08A5B5F4" w14:textId="77777777" w:rsidR="00B00FB7" w:rsidRPr="00B00FB7" w:rsidRDefault="00B00FB7" w:rsidP="00B00FB7">
      <w:pPr>
        <w:rPr>
          <w:rFonts w:ascii="Verdana" w:hAnsi="Verdana"/>
          <w:lang w:val="en-US"/>
        </w:rPr>
      </w:pPr>
      <w:r w:rsidRPr="00B00FB7">
        <w:rPr>
          <w:rFonts w:ascii="Verdana" w:hAnsi="Verdana"/>
          <w:lang w:val="en-US"/>
        </w:rPr>
        <w:t>From 1 July 2010 to 30 June 2012, the website will thus be maintained by the Romanian Bologna Secretariat.</w:t>
      </w:r>
    </w:p>
    <w:p w14:paraId="5842057D" w14:textId="77777777" w:rsidR="004F6211" w:rsidRDefault="00B00FB7" w:rsidP="00B00FB7">
      <w:pPr>
        <w:rPr>
          <w:rFonts w:ascii="Verdana" w:hAnsi="Verdana"/>
          <w:lang w:val="en-US"/>
        </w:rPr>
      </w:pPr>
      <w:r w:rsidRPr="00B00FB7">
        <w:rPr>
          <w:rFonts w:ascii="Verdana" w:hAnsi="Verdana"/>
          <w:lang w:val="en-US"/>
        </w:rPr>
        <w:t>The following domains have also been reserved and visitors of those pages will be automatically diverted to the official EHEA website mentioned above.</w:t>
      </w:r>
    </w:p>
    <w:p w14:paraId="77D980EC" w14:textId="77777777" w:rsidR="00B00FB7" w:rsidRPr="004F6211" w:rsidRDefault="00B00FB7" w:rsidP="004F6211">
      <w:pPr>
        <w:pStyle w:val="Listenabsatz"/>
        <w:numPr>
          <w:ilvl w:val="0"/>
          <w:numId w:val="7"/>
        </w:numPr>
        <w:rPr>
          <w:rFonts w:ascii="Verdana" w:hAnsi="Verdana"/>
        </w:rPr>
      </w:pPr>
      <w:r w:rsidRPr="004F6211">
        <w:rPr>
          <w:rFonts w:ascii="Verdana" w:hAnsi="Verdana"/>
        </w:rPr>
        <w:t>european-higher-education-area.info</w:t>
      </w:r>
    </w:p>
    <w:p w14:paraId="6E33C8E1" w14:textId="77777777" w:rsidR="00B00FB7" w:rsidRPr="004F6211" w:rsidRDefault="00B00FB7" w:rsidP="004F6211">
      <w:pPr>
        <w:pStyle w:val="Listenabsatz"/>
        <w:numPr>
          <w:ilvl w:val="0"/>
          <w:numId w:val="7"/>
        </w:numPr>
        <w:rPr>
          <w:rFonts w:ascii="Verdana" w:hAnsi="Verdana"/>
        </w:rPr>
      </w:pPr>
      <w:r w:rsidRPr="004F6211">
        <w:rPr>
          <w:rFonts w:ascii="Verdana" w:hAnsi="Verdana"/>
        </w:rPr>
        <w:t>european-higher-education-area.net</w:t>
      </w:r>
    </w:p>
    <w:p w14:paraId="53AE5659" w14:textId="77777777" w:rsidR="004F6211" w:rsidRPr="004F6211" w:rsidRDefault="00B00FB7" w:rsidP="004F6211">
      <w:pPr>
        <w:pStyle w:val="Listenabsatz"/>
        <w:numPr>
          <w:ilvl w:val="0"/>
          <w:numId w:val="7"/>
        </w:numPr>
        <w:rPr>
          <w:rFonts w:ascii="Verdana" w:hAnsi="Verdana"/>
        </w:rPr>
      </w:pPr>
      <w:r w:rsidRPr="004F6211">
        <w:rPr>
          <w:rFonts w:ascii="Verdana" w:hAnsi="Verdana"/>
        </w:rPr>
        <w:t>eur</w:t>
      </w:r>
      <w:r w:rsidR="004F6211" w:rsidRPr="004F6211">
        <w:rPr>
          <w:rFonts w:ascii="Verdana" w:hAnsi="Verdana"/>
        </w:rPr>
        <w:t>opean-higher-education-area.org</w:t>
      </w:r>
    </w:p>
    <w:p w14:paraId="623382D9" w14:textId="77777777" w:rsidR="004F6211" w:rsidRPr="004F6211" w:rsidRDefault="00B00FB7" w:rsidP="004F6211">
      <w:pPr>
        <w:pStyle w:val="Listenabsatz"/>
        <w:numPr>
          <w:ilvl w:val="0"/>
          <w:numId w:val="7"/>
        </w:numPr>
        <w:rPr>
          <w:rFonts w:ascii="Verdana" w:hAnsi="Verdana"/>
        </w:rPr>
      </w:pPr>
      <w:r w:rsidRPr="004F6211">
        <w:rPr>
          <w:rFonts w:ascii="Verdana" w:hAnsi="Verdana"/>
        </w:rPr>
        <w:t>eu</w:t>
      </w:r>
      <w:r w:rsidR="004F6211" w:rsidRPr="004F6211">
        <w:rPr>
          <w:rFonts w:ascii="Verdana" w:hAnsi="Verdana"/>
        </w:rPr>
        <w:t>ropean-higher-education-area.eu</w:t>
      </w:r>
    </w:p>
    <w:p w14:paraId="6D2FBBF6" w14:textId="77777777" w:rsidR="004F6211" w:rsidRPr="004F6211" w:rsidRDefault="004F6211" w:rsidP="004F6211">
      <w:pPr>
        <w:pStyle w:val="Listenabsatz"/>
        <w:numPr>
          <w:ilvl w:val="0"/>
          <w:numId w:val="7"/>
        </w:numPr>
        <w:rPr>
          <w:rFonts w:ascii="Verdana" w:hAnsi="Verdana"/>
        </w:rPr>
      </w:pPr>
      <w:r w:rsidRPr="004F6211">
        <w:rPr>
          <w:rFonts w:ascii="Verdana" w:hAnsi="Verdana"/>
        </w:rPr>
        <w:t>bologna-process.info</w:t>
      </w:r>
    </w:p>
    <w:p w14:paraId="5B4AB33E" w14:textId="77777777" w:rsidR="004F6211" w:rsidRPr="004F6211" w:rsidRDefault="004F6211" w:rsidP="004F6211">
      <w:pPr>
        <w:pStyle w:val="Listenabsatz"/>
        <w:numPr>
          <w:ilvl w:val="0"/>
          <w:numId w:val="7"/>
        </w:numPr>
        <w:rPr>
          <w:rFonts w:ascii="Verdana" w:hAnsi="Verdana"/>
        </w:rPr>
      </w:pPr>
      <w:r w:rsidRPr="004F6211">
        <w:rPr>
          <w:rFonts w:ascii="Verdana" w:hAnsi="Verdana"/>
        </w:rPr>
        <w:t>bologna-process.net</w:t>
      </w:r>
    </w:p>
    <w:p w14:paraId="5BCB3A7F" w14:textId="77777777" w:rsidR="00B00FB7" w:rsidRPr="004F6211" w:rsidRDefault="00B00FB7" w:rsidP="004F6211">
      <w:pPr>
        <w:pStyle w:val="Listenabsatz"/>
        <w:numPr>
          <w:ilvl w:val="0"/>
          <w:numId w:val="7"/>
        </w:numPr>
        <w:rPr>
          <w:rFonts w:ascii="Verdana" w:hAnsi="Verdana"/>
        </w:rPr>
      </w:pPr>
      <w:r w:rsidRPr="004F6211">
        <w:rPr>
          <w:rFonts w:ascii="Verdana" w:hAnsi="Verdana"/>
        </w:rPr>
        <w:t>bologna-process.org</w:t>
      </w:r>
    </w:p>
    <w:p w14:paraId="1E900656" w14:textId="77777777" w:rsidR="004F6211" w:rsidRPr="00B00FB7" w:rsidRDefault="004F6211" w:rsidP="00B00FB7">
      <w:pPr>
        <w:rPr>
          <w:rFonts w:ascii="Verdana" w:hAnsi="Verdana"/>
          <w:lang w:val="en-US"/>
        </w:rPr>
      </w:pPr>
    </w:p>
    <w:p w14:paraId="0EE40561" w14:textId="0DC8ED59" w:rsidR="004F6211" w:rsidRDefault="00B00FB7" w:rsidP="00BA54BD">
      <w:pPr>
        <w:pStyle w:val="berschrift1"/>
      </w:pPr>
      <w:r w:rsidRPr="00B00FB7">
        <w:t>3. MINISTERIAL CONFERENCE 2015 – HOSTING AND SECRETARIAT</w:t>
      </w:r>
    </w:p>
    <w:p w14:paraId="5CAF1129" w14:textId="77777777" w:rsidR="00B00FB7" w:rsidRPr="00B00FB7" w:rsidRDefault="00B00FB7" w:rsidP="00B00FB7">
      <w:pPr>
        <w:rPr>
          <w:rFonts w:ascii="Verdana" w:hAnsi="Verdana"/>
          <w:lang w:val="en-US"/>
        </w:rPr>
      </w:pPr>
      <w:r w:rsidRPr="00B00FB7">
        <w:rPr>
          <w:rFonts w:ascii="Verdana" w:hAnsi="Verdana"/>
          <w:lang w:val="en-US"/>
        </w:rPr>
        <w:t>The decision on the host(s) of the 2015 Ministerial Bologna Conference needs to be taken before 1 January 2012 to ensure a smooth handover to the next Secretariat to be provided by the host(s). Therefore, candidatures of countries wishing to host the 2015 Ministerial Conference, the Bologna Secretariat and the EHEA website, should be put forward by 1 September 2011. In case several candidatures are received by the given deadline, a vote will be organised at the BFUG meeting in autumn 2011.</w:t>
      </w:r>
    </w:p>
    <w:sectPr w:rsidR="00B00FB7" w:rsidRPr="00B00FB7" w:rsidSect="00FD1581">
      <w:footerReference w:type="default" r:id="rId12"/>
      <w:headerReference w:type="first" r:id="rId13"/>
      <w:pgSz w:w="12240" w:h="15840"/>
      <w:pgMar w:top="1440" w:right="1440" w:bottom="1440" w:left="1440" w:header="284"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C34DB3" w14:textId="77777777" w:rsidR="007E074E" w:rsidRDefault="007E074E" w:rsidP="001F5E57">
      <w:r>
        <w:separator/>
      </w:r>
    </w:p>
  </w:endnote>
  <w:endnote w:type="continuationSeparator" w:id="0">
    <w:p w14:paraId="0E97E417" w14:textId="77777777" w:rsidR="007E074E" w:rsidRDefault="007E074E" w:rsidP="001F5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24F2B8" w14:textId="77777777" w:rsidR="004F6211" w:rsidRPr="001F5E57" w:rsidRDefault="004F6211">
    <w:pPr>
      <w:pStyle w:val="Fuzeile"/>
      <w:jc w:val="right"/>
      <w:rPr>
        <w:rFonts w:ascii="Verdana" w:hAnsi="Verdana"/>
        <w:sz w:val="20"/>
        <w:szCs w:val="20"/>
      </w:rPr>
    </w:pPr>
    <w:r w:rsidRPr="001F5E57">
      <w:rPr>
        <w:rFonts w:ascii="Verdana" w:hAnsi="Verdana"/>
        <w:sz w:val="20"/>
        <w:szCs w:val="20"/>
      </w:rPr>
      <w:fldChar w:fldCharType="begin"/>
    </w:r>
    <w:r w:rsidRPr="001F5E57">
      <w:rPr>
        <w:rFonts w:ascii="Verdana" w:hAnsi="Verdana"/>
        <w:sz w:val="20"/>
        <w:szCs w:val="20"/>
      </w:rPr>
      <w:instrText xml:space="preserve"> PAGE   \* MERGEFORMAT </w:instrText>
    </w:r>
    <w:r w:rsidRPr="001F5E57">
      <w:rPr>
        <w:rFonts w:ascii="Verdana" w:hAnsi="Verdana"/>
        <w:sz w:val="20"/>
        <w:szCs w:val="20"/>
      </w:rPr>
      <w:fldChar w:fldCharType="separate"/>
    </w:r>
    <w:r w:rsidR="00B148F3">
      <w:rPr>
        <w:rFonts w:ascii="Verdana" w:hAnsi="Verdana"/>
        <w:noProof/>
        <w:sz w:val="20"/>
        <w:szCs w:val="20"/>
      </w:rPr>
      <w:t>3</w:t>
    </w:r>
    <w:r w:rsidRPr="001F5E57">
      <w:rPr>
        <w:rFonts w:ascii="Verdana" w:hAnsi="Verdana"/>
        <w:noProof/>
        <w:sz w:val="20"/>
        <w:szCs w:val="20"/>
      </w:rPr>
      <w:fldChar w:fldCharType="end"/>
    </w:r>
  </w:p>
  <w:p w14:paraId="01801E7E" w14:textId="77777777" w:rsidR="004F6211" w:rsidRDefault="004F621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582B4C" w14:textId="77777777" w:rsidR="007E074E" w:rsidRDefault="007E074E" w:rsidP="001F5E57">
      <w:r>
        <w:separator/>
      </w:r>
    </w:p>
  </w:footnote>
  <w:footnote w:type="continuationSeparator" w:id="0">
    <w:p w14:paraId="3B091EDD" w14:textId="77777777" w:rsidR="007E074E" w:rsidRDefault="007E074E" w:rsidP="001F5E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DEA0C7" w14:textId="77777777" w:rsidR="004F6211" w:rsidRDefault="004F6211" w:rsidP="000A4BD5">
    <w:pPr>
      <w:pStyle w:val="Kopfzeile"/>
      <w:ind w:left="-709"/>
    </w:pPr>
    <w:r>
      <w:rPr>
        <w:noProof/>
        <w:lang w:val="de-DE" w:eastAsia="de-DE"/>
      </w:rPr>
      <w:drawing>
        <wp:inline distT="0" distB="0" distL="0" distR="0" wp14:anchorId="3B013FD0" wp14:editId="39F9E555">
          <wp:extent cx="6836045" cy="8640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_BFUGMeeting_NL_MO.png"/>
                  <pic:cNvPicPr/>
                </pic:nvPicPr>
                <pic:blipFill>
                  <a:blip r:embed="rId1">
                    <a:extLst>
                      <a:ext uri="{28A0092B-C50C-407E-A947-70E740481C1C}">
                        <a14:useLocalDpi xmlns:a14="http://schemas.microsoft.com/office/drawing/2010/main" val="0"/>
                      </a:ext>
                    </a:extLst>
                  </a:blip>
                  <a:stretch>
                    <a:fillRect/>
                  </a:stretch>
                </pic:blipFill>
                <pic:spPr>
                  <a:xfrm>
                    <a:off x="0" y="0"/>
                    <a:ext cx="6836045" cy="8640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0734986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6574E04"/>
    <w:multiLevelType w:val="hybridMultilevel"/>
    <w:tmpl w:val="7FC8849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4AE439C"/>
    <w:multiLevelType w:val="hybridMultilevel"/>
    <w:tmpl w:val="07DCD7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94B0DB4"/>
    <w:multiLevelType w:val="hybridMultilevel"/>
    <w:tmpl w:val="BD2CB5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3AB1CD2"/>
    <w:multiLevelType w:val="hybridMultilevel"/>
    <w:tmpl w:val="9A400D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4E909D0"/>
    <w:multiLevelType w:val="hybridMultilevel"/>
    <w:tmpl w:val="23780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9D563D"/>
    <w:multiLevelType w:val="hybridMultilevel"/>
    <w:tmpl w:val="840087A0"/>
    <w:lvl w:ilvl="0" w:tplc="F21CD2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4"/>
  </w:num>
  <w:num w:numId="3">
    <w:abstractNumId w:val="1"/>
  </w:num>
  <w:num w:numId="4">
    <w:abstractNumId w:val="6"/>
  </w:num>
  <w:num w:numId="5">
    <w:abstractNumId w:val="0"/>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0FB7"/>
    <w:rsid w:val="000A4BD5"/>
    <w:rsid w:val="000D2BE4"/>
    <w:rsid w:val="00185C25"/>
    <w:rsid w:val="001A5CD3"/>
    <w:rsid w:val="001A7490"/>
    <w:rsid w:val="001F5E57"/>
    <w:rsid w:val="002232C1"/>
    <w:rsid w:val="002E6AC4"/>
    <w:rsid w:val="00486975"/>
    <w:rsid w:val="004F6211"/>
    <w:rsid w:val="005C3B34"/>
    <w:rsid w:val="006065AE"/>
    <w:rsid w:val="00614ED8"/>
    <w:rsid w:val="006435E3"/>
    <w:rsid w:val="006724B2"/>
    <w:rsid w:val="0068722C"/>
    <w:rsid w:val="006D3204"/>
    <w:rsid w:val="00701B94"/>
    <w:rsid w:val="00710640"/>
    <w:rsid w:val="007E074E"/>
    <w:rsid w:val="007E4EF0"/>
    <w:rsid w:val="00895083"/>
    <w:rsid w:val="008E6B82"/>
    <w:rsid w:val="009F5F90"/>
    <w:rsid w:val="00A058C8"/>
    <w:rsid w:val="00AF7799"/>
    <w:rsid w:val="00B00FB7"/>
    <w:rsid w:val="00B148F3"/>
    <w:rsid w:val="00BA0308"/>
    <w:rsid w:val="00BA54BD"/>
    <w:rsid w:val="00BC1558"/>
    <w:rsid w:val="00C32DB7"/>
    <w:rsid w:val="00D0051E"/>
    <w:rsid w:val="00D33E97"/>
    <w:rsid w:val="00DB7AC5"/>
    <w:rsid w:val="00DD3F47"/>
    <w:rsid w:val="00E33B3C"/>
    <w:rsid w:val="00E5041D"/>
    <w:rsid w:val="00E92F18"/>
    <w:rsid w:val="00F77AA4"/>
    <w:rsid w:val="00FD1581"/>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A321B3B"/>
  <w15:docId w15:val="{1135CD02-B379-4ABC-8A74-76837E607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00FB7"/>
    <w:pPr>
      <w:spacing w:after="200" w:line="276" w:lineRule="auto"/>
    </w:pPr>
    <w:rPr>
      <w:rFonts w:asciiTheme="minorHAnsi" w:eastAsiaTheme="minorHAnsi" w:hAnsiTheme="minorHAnsi" w:cstheme="minorBidi"/>
      <w:sz w:val="22"/>
      <w:szCs w:val="22"/>
      <w:lang w:val="de-DE" w:eastAsia="en-US"/>
    </w:rPr>
  </w:style>
  <w:style w:type="paragraph" w:styleId="berschrift1">
    <w:name w:val="heading 1"/>
    <w:basedOn w:val="Standard"/>
    <w:next w:val="Standard"/>
    <w:link w:val="berschrift1Zchn"/>
    <w:uiPriority w:val="9"/>
    <w:qFormat/>
    <w:rsid w:val="00C32DB7"/>
    <w:pPr>
      <w:keepNext/>
      <w:keepLines/>
      <w:spacing w:after="0" w:line="288" w:lineRule="auto"/>
      <w:outlineLvl w:val="0"/>
    </w:pPr>
    <w:rPr>
      <w:rFonts w:ascii="Verdana" w:eastAsiaTheme="majorEastAsia" w:hAnsi="Verdana" w:cstheme="majorBidi"/>
      <w:b/>
      <w:bCs/>
      <w:i/>
      <w:iCs/>
      <w:szCs w:val="20"/>
      <w:lang w:val="en-US"/>
    </w:rPr>
  </w:style>
  <w:style w:type="paragraph" w:styleId="berschrift2">
    <w:name w:val="heading 2"/>
    <w:basedOn w:val="Standard"/>
    <w:next w:val="Standard"/>
    <w:link w:val="berschrift2Zchn"/>
    <w:uiPriority w:val="9"/>
    <w:unhideWhenUsed/>
    <w:qFormat/>
    <w:rsid w:val="00D0051E"/>
    <w:pPr>
      <w:keepNext/>
      <w:keepLines/>
      <w:spacing w:after="0" w:line="288" w:lineRule="auto"/>
      <w:outlineLvl w:val="1"/>
    </w:pPr>
    <w:rPr>
      <w:rFonts w:ascii="Verdana" w:eastAsiaTheme="majorEastAsia" w:hAnsi="Verdana" w:cstheme="majorBidi"/>
      <w:i/>
      <w:iCs/>
      <w:szCs w:val="20"/>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6724B2"/>
    <w:pPr>
      <w:spacing w:after="0" w:line="240" w:lineRule="auto"/>
      <w:ind w:left="720"/>
      <w:contextualSpacing/>
    </w:pPr>
    <w:rPr>
      <w:rFonts w:ascii="Calibri" w:eastAsia="Calibri" w:hAnsi="Calibri" w:cs="Times New Roman"/>
      <w:lang w:val="en-US"/>
    </w:rPr>
  </w:style>
  <w:style w:type="character" w:styleId="Hyperlink">
    <w:name w:val="Hyperlink"/>
    <w:uiPriority w:val="99"/>
    <w:unhideWhenUsed/>
    <w:rsid w:val="006724B2"/>
    <w:rPr>
      <w:color w:val="0000FF"/>
      <w:u w:val="single"/>
    </w:rPr>
  </w:style>
  <w:style w:type="paragraph" w:styleId="Kopfzeile">
    <w:name w:val="header"/>
    <w:basedOn w:val="Standard"/>
    <w:link w:val="KopfzeileZchn"/>
    <w:uiPriority w:val="99"/>
    <w:unhideWhenUsed/>
    <w:rsid w:val="001F5E57"/>
    <w:pPr>
      <w:tabs>
        <w:tab w:val="center" w:pos="4680"/>
        <w:tab w:val="right" w:pos="9360"/>
      </w:tabs>
      <w:spacing w:after="0" w:line="240" w:lineRule="auto"/>
    </w:pPr>
    <w:rPr>
      <w:rFonts w:ascii="Calibri" w:eastAsia="Calibri" w:hAnsi="Calibri" w:cs="Times New Roman"/>
      <w:lang w:val="en-US"/>
    </w:rPr>
  </w:style>
  <w:style w:type="character" w:customStyle="1" w:styleId="KopfzeileZchn">
    <w:name w:val="Kopfzeile Zchn"/>
    <w:link w:val="Kopfzeile"/>
    <w:uiPriority w:val="99"/>
    <w:rsid w:val="001F5E57"/>
    <w:rPr>
      <w:sz w:val="22"/>
      <w:szCs w:val="22"/>
    </w:rPr>
  </w:style>
  <w:style w:type="paragraph" w:styleId="Fuzeile">
    <w:name w:val="footer"/>
    <w:basedOn w:val="Standard"/>
    <w:link w:val="FuzeileZchn"/>
    <w:uiPriority w:val="99"/>
    <w:unhideWhenUsed/>
    <w:rsid w:val="001F5E57"/>
    <w:pPr>
      <w:tabs>
        <w:tab w:val="center" w:pos="4680"/>
        <w:tab w:val="right" w:pos="9360"/>
      </w:tabs>
      <w:spacing w:after="0" w:line="240" w:lineRule="auto"/>
    </w:pPr>
    <w:rPr>
      <w:rFonts w:ascii="Calibri" w:eastAsia="Calibri" w:hAnsi="Calibri" w:cs="Times New Roman"/>
      <w:lang w:val="en-US"/>
    </w:rPr>
  </w:style>
  <w:style w:type="character" w:customStyle="1" w:styleId="FuzeileZchn">
    <w:name w:val="Fußzeile Zchn"/>
    <w:link w:val="Fuzeile"/>
    <w:uiPriority w:val="99"/>
    <w:rsid w:val="001F5E57"/>
    <w:rPr>
      <w:sz w:val="22"/>
      <w:szCs w:val="22"/>
    </w:rPr>
  </w:style>
  <w:style w:type="paragraph" w:styleId="Sprechblasentext">
    <w:name w:val="Balloon Text"/>
    <w:basedOn w:val="Standard"/>
    <w:link w:val="SprechblasentextZchn"/>
    <w:uiPriority w:val="99"/>
    <w:semiHidden/>
    <w:unhideWhenUsed/>
    <w:rsid w:val="00FD1581"/>
    <w:pPr>
      <w:spacing w:after="0" w:line="240" w:lineRule="auto"/>
    </w:pPr>
    <w:rPr>
      <w:rFonts w:ascii="Lucida Grande" w:eastAsia="Calibri" w:hAnsi="Lucida Grande" w:cs="Times New Roman"/>
      <w:sz w:val="18"/>
      <w:szCs w:val="18"/>
      <w:lang w:val="en-US"/>
    </w:rPr>
  </w:style>
  <w:style w:type="character" w:customStyle="1" w:styleId="SprechblasentextZchn">
    <w:name w:val="Sprechblasentext Zchn"/>
    <w:basedOn w:val="Absatz-Standardschriftart"/>
    <w:link w:val="Sprechblasentext"/>
    <w:uiPriority w:val="99"/>
    <w:semiHidden/>
    <w:rsid w:val="00FD1581"/>
    <w:rPr>
      <w:rFonts w:ascii="Lucida Grande" w:hAnsi="Lucida Grande"/>
      <w:sz w:val="18"/>
      <w:szCs w:val="18"/>
      <w:lang w:val="en-US" w:eastAsia="en-US"/>
    </w:rPr>
  </w:style>
  <w:style w:type="paragraph" w:styleId="Titel">
    <w:name w:val="Title"/>
    <w:basedOn w:val="Standard"/>
    <w:next w:val="Standard"/>
    <w:link w:val="TitelZchn"/>
    <w:uiPriority w:val="10"/>
    <w:qFormat/>
    <w:rsid w:val="00FD1581"/>
    <w:pPr>
      <w:spacing w:after="0" w:line="288" w:lineRule="auto"/>
      <w:contextualSpacing/>
      <w:jc w:val="center"/>
    </w:pPr>
    <w:rPr>
      <w:rFonts w:ascii="Verdana" w:eastAsiaTheme="majorEastAsia" w:hAnsi="Verdana" w:cstheme="majorBidi"/>
      <w:b/>
      <w:bCs/>
      <w:caps/>
      <w:spacing w:val="5"/>
      <w:kern w:val="28"/>
      <w:sz w:val="20"/>
      <w:szCs w:val="20"/>
      <w:lang w:val="en-US"/>
    </w:rPr>
  </w:style>
  <w:style w:type="character" w:customStyle="1" w:styleId="TitelZchn">
    <w:name w:val="Titel Zchn"/>
    <w:basedOn w:val="Absatz-Standardschriftart"/>
    <w:link w:val="Titel"/>
    <w:uiPriority w:val="10"/>
    <w:rsid w:val="00FD1581"/>
    <w:rPr>
      <w:rFonts w:ascii="Verdana" w:eastAsiaTheme="majorEastAsia" w:hAnsi="Verdana" w:cstheme="majorBidi"/>
      <w:b/>
      <w:bCs/>
      <w:caps/>
      <w:spacing w:val="5"/>
      <w:kern w:val="28"/>
      <w:lang w:val="en-US" w:eastAsia="en-US"/>
    </w:rPr>
  </w:style>
  <w:style w:type="character" w:customStyle="1" w:styleId="berschrift1Zchn">
    <w:name w:val="Überschrift 1 Zchn"/>
    <w:basedOn w:val="Absatz-Standardschriftart"/>
    <w:link w:val="berschrift1"/>
    <w:uiPriority w:val="9"/>
    <w:rsid w:val="00C32DB7"/>
    <w:rPr>
      <w:rFonts w:ascii="Verdana" w:eastAsiaTheme="majorEastAsia" w:hAnsi="Verdana" w:cstheme="majorBidi"/>
      <w:b/>
      <w:bCs/>
      <w:i/>
      <w:iCs/>
      <w:sz w:val="22"/>
      <w:lang w:val="en-US" w:eastAsia="en-US"/>
    </w:rPr>
  </w:style>
  <w:style w:type="character" w:customStyle="1" w:styleId="berschrift2Zchn">
    <w:name w:val="Überschrift 2 Zchn"/>
    <w:basedOn w:val="Absatz-Standardschriftart"/>
    <w:link w:val="berschrift2"/>
    <w:uiPriority w:val="9"/>
    <w:rsid w:val="00D0051E"/>
    <w:rPr>
      <w:rFonts w:ascii="Verdana" w:eastAsiaTheme="majorEastAsia" w:hAnsi="Verdana" w:cstheme="majorBidi"/>
      <w:i/>
      <w:iCs/>
      <w:sz w:val="22"/>
      <w:lang w:val="en-US" w:eastAsia="en-US"/>
    </w:rPr>
  </w:style>
  <w:style w:type="table" w:styleId="Tabellenraster">
    <w:name w:val="Table Grid"/>
    <w:basedOn w:val="NormaleTabelle"/>
    <w:uiPriority w:val="59"/>
    <w:rsid w:val="00B00FB7"/>
    <w:rPr>
      <w:rFonts w:asciiTheme="minorHAnsi" w:eastAsiaTheme="minorHAnsi" w:hAnsiTheme="minorHAnsi" w:cstheme="minorBid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Absatz-Standardschriftart"/>
    <w:rsid w:val="00B00F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hea.info"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scription0 xmlns="bcc68411-ae40-483d-bb2c-2870ac712b9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73AB55E0CC5DA459F57F5A42893F46A005A087D358B12CA4E82A8A8BA9B8A8CF200D3544DBFAD4F664AA25DF68E6D1F0A9E00689F2856DFEDCE40890FDCED81A7DFC900433C0FFCC77981479300DBCD86B43115" ma:contentTypeVersion="2" ma:contentTypeDescription="Crée un document." ma:contentTypeScope="" ma:versionID="b3e179dd4c5bb549c29d28c7616965bf">
  <xsd:schema xmlns:xsd="http://www.w3.org/2001/XMLSchema" xmlns:xs="http://www.w3.org/2001/XMLSchema" xmlns:p="http://schemas.microsoft.com/office/2006/metadata/properties" xmlns:ns2="bcc68411-ae40-483d-bb2c-2870ac712b91" targetNamespace="http://schemas.microsoft.com/office/2006/metadata/properties" ma:root="true" ma:fieldsID="714fe317e918994c0b037f0bb363f95c" ns2:_="">
    <xsd:import namespace="bcc68411-ae40-483d-bb2c-2870ac712b91"/>
    <xsd:element name="properties">
      <xsd:complexType>
        <xsd:sequence>
          <xsd:element name="documentManagement">
            <xsd:complexType>
              <xsd:all>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68411-ae40-483d-bb2c-2870ac712b91" elementFormDefault="qualified">
    <xsd:import namespace="http://schemas.microsoft.com/office/2006/documentManagement/types"/>
    <xsd:import namespace="http://schemas.microsoft.com/office/infopath/2007/PartnerControls"/>
    <xsd:element name="Description0" ma:index="8" nillable="true" ma:displayName="Description" ma:description="Description du document" ma:internalName="Description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ma:readOnly="true"/>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314ED8-8FA2-460D-BB71-122D9077BFA9}"/>
</file>

<file path=customXml/itemProps2.xml><?xml version="1.0" encoding="utf-8"?>
<ds:datastoreItem xmlns:ds="http://schemas.openxmlformats.org/officeDocument/2006/customXml" ds:itemID="{C19866DC-E1DB-49B6-9DA6-564EFC52E767}"/>
</file>

<file path=customXml/itemProps3.xml><?xml version="1.0" encoding="utf-8"?>
<ds:datastoreItem xmlns:ds="http://schemas.openxmlformats.org/officeDocument/2006/customXml" ds:itemID="{89A349CD-7EEE-4354-8A75-9930A84C7308}"/>
</file>

<file path=customXml/itemProps4.xml><?xml version="1.0" encoding="utf-8"?>
<ds:datastoreItem xmlns:ds="http://schemas.openxmlformats.org/officeDocument/2006/customXml" ds:itemID="{F1B2CDB2-ED1B-4521-AB56-D4F59018026D}"/>
</file>

<file path=docProps/app.xml><?xml version="1.0" encoding="utf-8"?>
<Properties xmlns="http://schemas.openxmlformats.org/officeDocument/2006/extended-properties" xmlns:vt="http://schemas.openxmlformats.org/officeDocument/2006/docPropsVTypes">
  <Template>Normal</Template>
  <TotalTime>0</TotalTime>
  <Pages>3</Pages>
  <Words>674</Words>
  <Characters>4249</Characters>
  <Application>Microsoft Office Word</Application>
  <DocSecurity>0</DocSecurity>
  <Lines>35</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Modèle word BFUGMeeting_LU_LI</vt:lpstr>
      <vt:lpstr/>
    </vt:vector>
  </TitlesOfParts>
  <Company/>
  <LinksUpToDate>false</LinksUpToDate>
  <CharactersWithSpaces>4914</CharactersWithSpaces>
  <SharedDoc>false</SharedDoc>
  <HLinks>
    <vt:vector size="6" baseType="variant">
      <vt:variant>
        <vt:i4>2359336</vt:i4>
      </vt:variant>
      <vt:variant>
        <vt:i4>0</vt:i4>
      </vt:variant>
      <vt:variant>
        <vt:i4>0</vt:i4>
      </vt:variant>
      <vt:variant>
        <vt:i4>5</vt:i4>
      </vt:variant>
      <vt:variant>
        <vt:lpwstr>http://www.ehea.info/article-details.aspx?ArticleId=142</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Juliette Roussel</dc:creator>
  <cp:keywords/>
  <cp:lastModifiedBy>Nina Salden</cp:lastModifiedBy>
  <cp:revision>3</cp:revision>
  <cp:lastPrinted>2015-12-02T16:15:00Z</cp:lastPrinted>
  <dcterms:created xsi:type="dcterms:W3CDTF">2016-01-11T14:34:00Z</dcterms:created>
  <dcterms:modified xsi:type="dcterms:W3CDTF">2016-01-11T14:48:00Z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0x010100873AB55E0CC5DA459F57F5A42893F46A005A087D358B12CA4E82A8A8BA9B8A8CF200D3544DBFAD4F664AA25DF68E6D1F0A9E00689F2856DFEDCE40890FDCED81A7DFC900433C0FFCC77981479300DBCD86B43115</vt:lpwstr>
  </property>
</Properties>
</file>