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98" w:rsidRDefault="00053498" w:rsidP="00192F4D">
      <w:pPr>
        <w:jc w:val="right"/>
        <w:rPr>
          <w:i/>
          <w:lang w:val="en-US"/>
        </w:rPr>
      </w:pPr>
    </w:p>
    <w:p w:rsidR="00192F4D" w:rsidRDefault="00192F4D" w:rsidP="00192F4D">
      <w:pPr>
        <w:jc w:val="right"/>
        <w:rPr>
          <w:i/>
          <w:lang w:val="en-US"/>
        </w:rPr>
      </w:pPr>
      <w:bookmarkStart w:id="0" w:name="_GoBack"/>
      <w:bookmarkEnd w:id="0"/>
      <w:r>
        <w:rPr>
          <w:i/>
          <w:lang w:val="en-US"/>
        </w:rPr>
        <w:t>Doc. Code: BFUGBoard_NL_MD_49_11</w:t>
      </w:r>
    </w:p>
    <w:p w:rsidR="00681F1B" w:rsidRPr="009F5175" w:rsidRDefault="00681F1B" w:rsidP="009F5175">
      <w:pPr>
        <w:pStyle w:val="Titel"/>
        <w:rPr>
          <w:rFonts w:eastAsia="Times New Roman"/>
          <w:sz w:val="36"/>
          <w:lang w:val="en" w:eastAsia="nl-BE"/>
        </w:rPr>
      </w:pPr>
      <w:r w:rsidRPr="009F5175">
        <w:rPr>
          <w:rFonts w:eastAsia="Times New Roman"/>
          <w:sz w:val="36"/>
          <w:lang w:val="en" w:eastAsia="nl-BE"/>
        </w:rPr>
        <w:t>SPHERE – Support to Higher Education Reform Experts</w:t>
      </w:r>
    </w:p>
    <w:p w:rsidR="00BB03DD" w:rsidRPr="00E477CF" w:rsidRDefault="00BB03DD" w:rsidP="0065293E">
      <w:pPr>
        <w:pStyle w:val="StandardWeb"/>
        <w:jc w:val="both"/>
        <w:rPr>
          <w:rFonts w:asciiTheme="minorHAnsi" w:hAnsiTheme="minorHAnsi" w:cs="Arial"/>
          <w:color w:val="000000" w:themeColor="text1"/>
          <w:sz w:val="21"/>
          <w:szCs w:val="21"/>
          <w:lang w:val="en"/>
        </w:rPr>
      </w:pPr>
      <w:r w:rsidRPr="00E477CF">
        <w:rPr>
          <w:rFonts w:asciiTheme="minorHAnsi" w:hAnsiTheme="minorHAnsi" w:cs="Arial"/>
          <w:color w:val="000000" w:themeColor="text1"/>
          <w:sz w:val="21"/>
          <w:szCs w:val="21"/>
          <w:lang w:val="en"/>
        </w:rPr>
        <w:t xml:space="preserve">The University of Barcelona (Coordinator) and the European University Association (EUA) are currently implementing on behalf of the Education, Audiovisual and Culture Executive Agency (EACEA) </w:t>
      </w:r>
      <w:r w:rsidR="000C399E" w:rsidRPr="00E477CF">
        <w:rPr>
          <w:rFonts w:asciiTheme="minorHAnsi" w:hAnsiTheme="minorHAnsi" w:cs="Arial"/>
          <w:color w:val="000000" w:themeColor="text1"/>
          <w:sz w:val="21"/>
          <w:szCs w:val="21"/>
          <w:lang w:val="en"/>
        </w:rPr>
        <w:t>of the European Commission a contract for ‘</w:t>
      </w:r>
      <w:r w:rsidRPr="00E477CF">
        <w:rPr>
          <w:rFonts w:asciiTheme="minorHAnsi" w:hAnsiTheme="minorHAnsi" w:cs="Arial"/>
          <w:color w:val="000000" w:themeColor="text1"/>
          <w:sz w:val="21"/>
          <w:szCs w:val="21"/>
          <w:lang w:val="en"/>
        </w:rPr>
        <w:t xml:space="preserve">Support and Promotion for Higher Education Reform </w:t>
      </w:r>
      <w:r w:rsidR="000C399E" w:rsidRPr="00E477CF">
        <w:rPr>
          <w:rFonts w:asciiTheme="minorHAnsi" w:hAnsiTheme="minorHAnsi" w:cs="Arial"/>
          <w:color w:val="000000" w:themeColor="text1"/>
          <w:sz w:val="21"/>
          <w:szCs w:val="21"/>
          <w:lang w:val="en"/>
        </w:rPr>
        <w:t>Experts’ (SPHERE)</w:t>
      </w:r>
      <w:r w:rsidRPr="00E477CF">
        <w:rPr>
          <w:rFonts w:asciiTheme="minorHAnsi" w:hAnsiTheme="minorHAnsi" w:cs="Arial"/>
          <w:color w:val="000000" w:themeColor="text1"/>
          <w:sz w:val="21"/>
          <w:szCs w:val="21"/>
          <w:lang w:val="en"/>
        </w:rPr>
        <w:t xml:space="preserve">. </w:t>
      </w:r>
    </w:p>
    <w:p w:rsidR="00BB03DD" w:rsidRPr="0068344C" w:rsidRDefault="00BB03DD" w:rsidP="0065293E">
      <w:pPr>
        <w:pStyle w:val="StandardWeb"/>
        <w:jc w:val="both"/>
        <w:rPr>
          <w:rFonts w:asciiTheme="minorHAnsi" w:hAnsiTheme="minorHAnsi" w:cs="Arial"/>
          <w:color w:val="000000" w:themeColor="text1"/>
          <w:sz w:val="21"/>
          <w:szCs w:val="21"/>
          <w:lang w:val="en-GB"/>
        </w:rPr>
      </w:pPr>
      <w:r w:rsidRPr="00E477CF">
        <w:rPr>
          <w:rFonts w:asciiTheme="minorHAnsi" w:hAnsiTheme="minorHAnsi" w:cs="Arial"/>
          <w:color w:val="000000" w:themeColor="text1"/>
          <w:sz w:val="21"/>
          <w:szCs w:val="21"/>
          <w:lang w:val="en"/>
        </w:rPr>
        <w:t xml:space="preserve">The initiative provides training and networking for Higher Education Reform Experts (HEREs) and National Erasmus+ Offices (NEOs) in countries </w:t>
      </w:r>
      <w:proofErr w:type="spellStart"/>
      <w:r w:rsidRPr="00E477CF">
        <w:rPr>
          <w:rFonts w:asciiTheme="minorHAnsi" w:hAnsiTheme="minorHAnsi" w:cs="Arial"/>
          <w:color w:val="000000" w:themeColor="text1"/>
          <w:sz w:val="21"/>
          <w:szCs w:val="21"/>
          <w:lang w:val="en"/>
        </w:rPr>
        <w:t>neighbouring</w:t>
      </w:r>
      <w:proofErr w:type="spellEnd"/>
      <w:r w:rsidRPr="00E477CF">
        <w:rPr>
          <w:rFonts w:asciiTheme="minorHAnsi" w:hAnsiTheme="minorHAnsi" w:cs="Arial"/>
          <w:color w:val="000000" w:themeColor="text1"/>
          <w:sz w:val="21"/>
          <w:szCs w:val="21"/>
          <w:lang w:val="en"/>
        </w:rPr>
        <w:t xml:space="preserve"> the EU (former Tempus partner countries) in the period of January 2015 - December 2017.</w:t>
      </w:r>
    </w:p>
    <w:p w:rsidR="00681F1B" w:rsidRPr="00681F1B" w:rsidRDefault="00681F1B" w:rsidP="0065293E">
      <w:pPr>
        <w:pStyle w:val="berschrift1"/>
        <w:jc w:val="both"/>
        <w:rPr>
          <w:rFonts w:eastAsia="Times New Roman"/>
          <w:lang w:val="en" w:eastAsia="nl-BE"/>
        </w:rPr>
      </w:pPr>
      <w:r w:rsidRPr="009F5175">
        <w:rPr>
          <w:rFonts w:eastAsia="Times New Roman"/>
          <w:lang w:val="en" w:eastAsia="nl-BE"/>
        </w:rPr>
        <w:t>The Erasmus+ Higher Education Reform Experts</w:t>
      </w:r>
    </w:p>
    <w:p w:rsidR="00681F1B" w:rsidRPr="00E477CF" w:rsidRDefault="00681F1B" w:rsidP="0065293E">
      <w:pPr>
        <w:spacing w:after="150" w:line="240" w:lineRule="auto"/>
        <w:jc w:val="both"/>
        <w:rPr>
          <w:rFonts w:eastAsia="Times New Roman" w:cs="Arial"/>
          <w:color w:val="000000" w:themeColor="text1"/>
          <w:sz w:val="21"/>
          <w:szCs w:val="21"/>
          <w:lang w:val="en" w:eastAsia="nl-BE"/>
        </w:rPr>
      </w:pPr>
      <w:r w:rsidRPr="00E477CF">
        <w:rPr>
          <w:rFonts w:eastAsia="Times New Roman" w:cs="Arial"/>
          <w:color w:val="000000" w:themeColor="text1"/>
          <w:sz w:val="21"/>
          <w:szCs w:val="21"/>
          <w:lang w:val="en" w:eastAsia="nl-BE"/>
        </w:rPr>
        <w:t xml:space="preserve">The network of Higher Education Reform Experts (HEREs) was established in the framework of the Tempus </w:t>
      </w:r>
      <w:proofErr w:type="spellStart"/>
      <w:r w:rsidRPr="00E477CF">
        <w:rPr>
          <w:rFonts w:eastAsia="Times New Roman" w:cs="Arial"/>
          <w:color w:val="000000" w:themeColor="text1"/>
          <w:sz w:val="21"/>
          <w:szCs w:val="21"/>
          <w:lang w:val="en" w:eastAsia="nl-BE"/>
        </w:rPr>
        <w:t>programme</w:t>
      </w:r>
      <w:proofErr w:type="spellEnd"/>
      <w:r w:rsidRPr="00E477CF">
        <w:rPr>
          <w:rFonts w:eastAsia="Times New Roman" w:cs="Arial"/>
          <w:color w:val="000000" w:themeColor="text1"/>
          <w:sz w:val="21"/>
          <w:szCs w:val="21"/>
          <w:lang w:val="en" w:eastAsia="nl-BE"/>
        </w:rPr>
        <w:t xml:space="preserve"> and continues to be supported through Erasmus+.</w:t>
      </w:r>
      <w:r w:rsidR="000C399E" w:rsidRPr="00E477CF">
        <w:rPr>
          <w:rFonts w:eastAsia="Times New Roman" w:cs="Arial"/>
          <w:color w:val="000000" w:themeColor="text1"/>
          <w:sz w:val="21"/>
          <w:szCs w:val="21"/>
          <w:lang w:val="en" w:eastAsia="nl-BE"/>
        </w:rPr>
        <w:t xml:space="preserve"> It is a diplomatic and development cooperation tool of the European Commission that aims to support higher education reform in </w:t>
      </w:r>
      <w:proofErr w:type="spellStart"/>
      <w:r w:rsidR="000C399E" w:rsidRPr="00E477CF">
        <w:rPr>
          <w:rFonts w:eastAsia="Times New Roman" w:cs="Arial"/>
          <w:color w:val="000000" w:themeColor="text1"/>
          <w:sz w:val="21"/>
          <w:szCs w:val="21"/>
          <w:lang w:val="en" w:eastAsia="nl-BE"/>
        </w:rPr>
        <w:t>neighbouring</w:t>
      </w:r>
      <w:proofErr w:type="spellEnd"/>
      <w:r w:rsidR="000C399E" w:rsidRPr="00E477CF">
        <w:rPr>
          <w:rFonts w:eastAsia="Times New Roman" w:cs="Arial"/>
          <w:color w:val="000000" w:themeColor="text1"/>
          <w:sz w:val="21"/>
          <w:szCs w:val="21"/>
          <w:lang w:val="en" w:eastAsia="nl-BE"/>
        </w:rPr>
        <w:t xml:space="preserve"> countries, sharing in particular the European experience in this respect. Note that many countries that are in the European Higher Education Area (EHEA)</w:t>
      </w:r>
      <w:r w:rsidR="007837D8">
        <w:rPr>
          <w:rFonts w:eastAsia="Times New Roman" w:cs="Arial"/>
          <w:color w:val="000000" w:themeColor="text1"/>
          <w:sz w:val="21"/>
          <w:szCs w:val="21"/>
          <w:lang w:val="en" w:eastAsia="nl-BE"/>
        </w:rPr>
        <w:t>,</w:t>
      </w:r>
      <w:r w:rsidR="000C399E" w:rsidRPr="00E477CF">
        <w:rPr>
          <w:rFonts w:eastAsia="Times New Roman" w:cs="Arial"/>
          <w:color w:val="000000" w:themeColor="text1"/>
          <w:sz w:val="21"/>
          <w:szCs w:val="21"/>
          <w:lang w:val="en" w:eastAsia="nl-BE"/>
        </w:rPr>
        <w:t xml:space="preserve"> but not in the EU benefit from this initiative. </w:t>
      </w:r>
    </w:p>
    <w:p w:rsidR="007837D8" w:rsidRPr="00E477CF" w:rsidRDefault="007837D8" w:rsidP="007837D8">
      <w:pPr>
        <w:spacing w:after="150" w:line="240" w:lineRule="auto"/>
        <w:jc w:val="both"/>
        <w:rPr>
          <w:rFonts w:eastAsia="Times New Roman" w:cs="Arial"/>
          <w:color w:val="000000" w:themeColor="text1"/>
          <w:sz w:val="21"/>
          <w:szCs w:val="21"/>
          <w:lang w:val="en" w:eastAsia="nl-BE"/>
        </w:rPr>
      </w:pPr>
      <w:r w:rsidRPr="00E477CF">
        <w:rPr>
          <w:rFonts w:eastAsia="Times New Roman" w:cs="Arial"/>
          <w:color w:val="000000" w:themeColor="text1"/>
          <w:sz w:val="21"/>
          <w:szCs w:val="21"/>
          <w:lang w:val="en" w:eastAsia="nl-BE"/>
        </w:rPr>
        <w:t>The partner countries (including only the former Tempus partner countries): Albania, Algeria, Armenia, Azerbaijan, Belarus, Bosnia and Herzegovina, Egypt, Georgia, Israel, Jordan, Kazakhstan, Kyrgyzstan, Lebanon, Libya, Moldova, Mo</w:t>
      </w:r>
      <w:r>
        <w:rPr>
          <w:rFonts w:eastAsia="Times New Roman" w:cs="Arial"/>
          <w:color w:val="000000" w:themeColor="text1"/>
          <w:sz w:val="21"/>
          <w:szCs w:val="21"/>
          <w:lang w:val="en" w:eastAsia="nl-BE"/>
        </w:rPr>
        <w:t>ntenegro, Morocco, Palestine</w:t>
      </w:r>
      <w:r w:rsidRPr="00E477CF">
        <w:rPr>
          <w:rFonts w:eastAsia="Times New Roman" w:cs="Arial"/>
          <w:color w:val="000000" w:themeColor="text1"/>
          <w:sz w:val="21"/>
          <w:szCs w:val="21"/>
          <w:lang w:val="en" w:eastAsia="nl-BE"/>
        </w:rPr>
        <w:t>, Russia, Serbia, Syria, Tajikistan, Tunisia, Turkmenistan, Ukraine, Uzbekistan and Kosovo.</w:t>
      </w:r>
    </w:p>
    <w:p w:rsidR="00681F1B" w:rsidRPr="00E477CF" w:rsidRDefault="00681F1B" w:rsidP="0065293E">
      <w:pPr>
        <w:spacing w:after="150" w:line="240" w:lineRule="auto"/>
        <w:jc w:val="both"/>
        <w:rPr>
          <w:rFonts w:eastAsia="Times New Roman" w:cs="Arial"/>
          <w:color w:val="000000" w:themeColor="text1"/>
          <w:sz w:val="21"/>
          <w:szCs w:val="21"/>
          <w:lang w:val="en" w:eastAsia="nl-BE"/>
        </w:rPr>
      </w:pPr>
      <w:r w:rsidRPr="00E477CF">
        <w:rPr>
          <w:rFonts w:eastAsia="Times New Roman" w:cs="Arial"/>
          <w:color w:val="000000" w:themeColor="text1"/>
          <w:sz w:val="21"/>
          <w:szCs w:val="21"/>
          <w:lang w:val="en" w:eastAsia="nl-BE"/>
        </w:rPr>
        <w:t>The experts, appointed by the national authorities in the former Temp</w:t>
      </w:r>
      <w:r w:rsidR="000C399E" w:rsidRPr="00E477CF">
        <w:rPr>
          <w:rFonts w:eastAsia="Times New Roman" w:cs="Arial"/>
          <w:color w:val="000000" w:themeColor="text1"/>
          <w:sz w:val="21"/>
          <w:szCs w:val="21"/>
          <w:lang w:val="en" w:eastAsia="nl-BE"/>
        </w:rPr>
        <w:t>us Partner Countries, are intended to be</w:t>
      </w:r>
      <w:r w:rsidRPr="00E477CF">
        <w:rPr>
          <w:rFonts w:eastAsia="Times New Roman" w:cs="Arial"/>
          <w:color w:val="000000" w:themeColor="text1"/>
          <w:sz w:val="21"/>
          <w:szCs w:val="21"/>
          <w:lang w:val="en" w:eastAsia="nl-BE"/>
        </w:rPr>
        <w:t xml:space="preserve"> a pool of expertise </w:t>
      </w:r>
      <w:r w:rsidR="000C399E" w:rsidRPr="00E477CF">
        <w:rPr>
          <w:rFonts w:eastAsia="Times New Roman" w:cs="Arial"/>
          <w:color w:val="000000" w:themeColor="text1"/>
          <w:sz w:val="21"/>
          <w:szCs w:val="21"/>
          <w:lang w:val="en" w:eastAsia="nl-BE"/>
        </w:rPr>
        <w:t>a</w:t>
      </w:r>
      <w:r w:rsidR="0068344C">
        <w:rPr>
          <w:rFonts w:eastAsia="Times New Roman" w:cs="Arial"/>
          <w:color w:val="000000" w:themeColor="text1"/>
          <w:sz w:val="21"/>
          <w:szCs w:val="21"/>
          <w:lang w:val="en" w:eastAsia="nl-BE"/>
        </w:rPr>
        <w:t>n</w:t>
      </w:r>
      <w:r w:rsidR="000C399E" w:rsidRPr="00E477CF">
        <w:rPr>
          <w:rFonts w:eastAsia="Times New Roman" w:cs="Arial"/>
          <w:color w:val="000000" w:themeColor="text1"/>
          <w:sz w:val="21"/>
          <w:szCs w:val="21"/>
          <w:lang w:val="en" w:eastAsia="nl-BE"/>
        </w:rPr>
        <w:t xml:space="preserve">d ‘change agents’ </w:t>
      </w:r>
      <w:r w:rsidRPr="00E477CF">
        <w:rPr>
          <w:rFonts w:eastAsia="Times New Roman" w:cs="Arial"/>
          <w:color w:val="000000" w:themeColor="text1"/>
          <w:sz w:val="21"/>
          <w:szCs w:val="21"/>
          <w:lang w:val="en" w:eastAsia="nl-BE"/>
        </w:rPr>
        <w:t xml:space="preserve">to promote and enhance the </w:t>
      </w:r>
      <w:proofErr w:type="spellStart"/>
      <w:r w:rsidRPr="00E477CF">
        <w:rPr>
          <w:rFonts w:eastAsia="Times New Roman" w:cs="Arial"/>
          <w:color w:val="000000" w:themeColor="text1"/>
          <w:sz w:val="21"/>
          <w:szCs w:val="21"/>
          <w:lang w:val="en" w:eastAsia="nl-BE"/>
        </w:rPr>
        <w:t>modernisation</w:t>
      </w:r>
      <w:proofErr w:type="spellEnd"/>
      <w:r w:rsidRPr="00E477CF">
        <w:rPr>
          <w:rFonts w:eastAsia="Times New Roman" w:cs="Arial"/>
          <w:color w:val="000000" w:themeColor="text1"/>
          <w:sz w:val="21"/>
          <w:szCs w:val="21"/>
          <w:lang w:val="en" w:eastAsia="nl-BE"/>
        </w:rPr>
        <w:t xml:space="preserve"> of higher education. They participate in the development of policies and reforms in their countries and contribute to the training of local stakeholders. Their activities consist, for example, in </w:t>
      </w:r>
      <w:proofErr w:type="spellStart"/>
      <w:r w:rsidRPr="00E477CF">
        <w:rPr>
          <w:rFonts w:eastAsia="Times New Roman" w:cs="Arial"/>
          <w:color w:val="000000" w:themeColor="text1"/>
          <w:sz w:val="21"/>
          <w:szCs w:val="21"/>
          <w:lang w:val="en" w:eastAsia="nl-BE"/>
        </w:rPr>
        <w:t>organising</w:t>
      </w:r>
      <w:proofErr w:type="spellEnd"/>
      <w:r w:rsidRPr="00E477CF">
        <w:rPr>
          <w:rFonts w:eastAsia="Times New Roman" w:cs="Arial"/>
          <w:color w:val="000000" w:themeColor="text1"/>
          <w:sz w:val="21"/>
          <w:szCs w:val="21"/>
          <w:lang w:val="en" w:eastAsia="nl-BE"/>
        </w:rPr>
        <w:t xml:space="preserve"> and participating in seminars, writing articles and reports, or providing advice to individual institutions and policy makers.</w:t>
      </w:r>
    </w:p>
    <w:p w:rsidR="00681F1B" w:rsidRDefault="00681F1B" w:rsidP="00053498">
      <w:pPr>
        <w:spacing w:after="0" w:line="240" w:lineRule="auto"/>
        <w:jc w:val="both"/>
        <w:rPr>
          <w:rFonts w:eastAsia="Times New Roman" w:cs="Arial"/>
          <w:color w:val="000000" w:themeColor="text1"/>
          <w:sz w:val="21"/>
          <w:szCs w:val="21"/>
          <w:lang w:val="en" w:eastAsia="nl-BE"/>
        </w:rPr>
      </w:pPr>
      <w:r w:rsidRPr="00E477CF">
        <w:rPr>
          <w:rFonts w:eastAsia="Times New Roman" w:cs="Arial"/>
          <w:color w:val="000000" w:themeColor="text1"/>
          <w:sz w:val="21"/>
          <w:szCs w:val="21"/>
          <w:lang w:val="en" w:eastAsia="nl-BE"/>
        </w:rPr>
        <w:t>The current network includes around 250 experts, whose activities are managed at the local level by the National Erasmus+ Offices</w:t>
      </w:r>
      <w:r w:rsidR="007837D8">
        <w:rPr>
          <w:rFonts w:eastAsia="Times New Roman" w:cs="Arial"/>
          <w:color w:val="000000" w:themeColor="text1"/>
          <w:sz w:val="21"/>
          <w:szCs w:val="21"/>
          <w:lang w:val="en" w:eastAsia="nl-BE"/>
        </w:rPr>
        <w:t xml:space="preserve"> (NEOs)</w:t>
      </w:r>
      <w:r w:rsidRPr="00E477CF">
        <w:rPr>
          <w:rFonts w:eastAsia="Times New Roman" w:cs="Arial"/>
          <w:color w:val="000000" w:themeColor="text1"/>
          <w:sz w:val="21"/>
          <w:szCs w:val="21"/>
          <w:lang w:val="en" w:eastAsia="nl-BE"/>
        </w:rPr>
        <w:t>, in cooperation with the relevant national authorities. International meetings and training events for the network are coordinated by the Education, Audiovisual and Culture Executive Agency, in cooperation with the DG Education and Culture of the European Commission and with the support of the SPHERE team.</w:t>
      </w:r>
    </w:p>
    <w:p w:rsidR="00053498" w:rsidRPr="00E477CF" w:rsidRDefault="00053498" w:rsidP="00053498">
      <w:pPr>
        <w:spacing w:after="0" w:line="240" w:lineRule="auto"/>
        <w:jc w:val="both"/>
        <w:rPr>
          <w:rFonts w:eastAsia="Times New Roman" w:cs="Arial"/>
          <w:color w:val="000000" w:themeColor="text1"/>
          <w:sz w:val="21"/>
          <w:szCs w:val="21"/>
          <w:lang w:val="en" w:eastAsia="nl-BE"/>
        </w:rPr>
      </w:pPr>
    </w:p>
    <w:p w:rsidR="009F5175" w:rsidRPr="004A22BE" w:rsidRDefault="009F5175" w:rsidP="00053498">
      <w:pPr>
        <w:spacing w:after="0" w:line="240" w:lineRule="auto"/>
        <w:jc w:val="both"/>
        <w:rPr>
          <w:rFonts w:eastAsia="Times New Roman" w:cs="Arial"/>
          <w:color w:val="585650"/>
          <w:sz w:val="2"/>
          <w:szCs w:val="21"/>
          <w:lang w:val="en" w:eastAsia="nl-BE"/>
        </w:rPr>
      </w:pPr>
    </w:p>
    <w:p w:rsidR="00681F1B" w:rsidRPr="00681F1B" w:rsidRDefault="009F5175" w:rsidP="00053498">
      <w:pPr>
        <w:pStyle w:val="berschrift1"/>
        <w:spacing w:before="0"/>
        <w:rPr>
          <w:rFonts w:asciiTheme="minorHAnsi" w:hAnsiTheme="minorHAnsi"/>
          <w:lang w:val="en" w:eastAsia="nl-BE"/>
        </w:rPr>
      </w:pPr>
      <w:r>
        <w:rPr>
          <w:lang w:val="en" w:eastAsia="nl-BE"/>
        </w:rPr>
        <w:t>Objectives</w:t>
      </w:r>
    </w:p>
    <w:p w:rsidR="00681F1B" w:rsidRPr="00E477CF" w:rsidRDefault="00681F1B" w:rsidP="0065293E">
      <w:pPr>
        <w:numPr>
          <w:ilvl w:val="0"/>
          <w:numId w:val="1"/>
        </w:numPr>
        <w:spacing w:after="150" w:line="240" w:lineRule="auto"/>
        <w:ind w:left="270"/>
        <w:jc w:val="both"/>
        <w:rPr>
          <w:rFonts w:eastAsia="Times New Roman" w:cs="Arial"/>
          <w:color w:val="000000" w:themeColor="text1"/>
          <w:sz w:val="21"/>
          <w:szCs w:val="21"/>
          <w:lang w:val="en" w:eastAsia="nl-BE"/>
        </w:rPr>
      </w:pPr>
      <w:r w:rsidRPr="00E477CF">
        <w:rPr>
          <w:rFonts w:eastAsia="Times New Roman" w:cs="Arial"/>
          <w:b/>
          <w:bCs/>
          <w:color w:val="000000" w:themeColor="text1"/>
          <w:sz w:val="21"/>
          <w:szCs w:val="21"/>
          <w:lang w:val="en" w:eastAsia="nl-BE"/>
        </w:rPr>
        <w:t>Capacity building of the nationally selected HERE teams</w:t>
      </w:r>
      <w:r w:rsidRPr="00E477CF">
        <w:rPr>
          <w:rFonts w:eastAsia="Times New Roman" w:cs="Arial"/>
          <w:color w:val="000000" w:themeColor="text1"/>
          <w:sz w:val="21"/>
          <w:szCs w:val="21"/>
          <w:lang w:val="en" w:eastAsia="nl-BE"/>
        </w:rPr>
        <w:t xml:space="preserve"> to actively contribute to higher education reform at national level in their countries and at the level of </w:t>
      </w:r>
      <w:proofErr w:type="spellStart"/>
      <w:r w:rsidRPr="00E477CF">
        <w:rPr>
          <w:rFonts w:eastAsia="Times New Roman" w:cs="Arial"/>
          <w:color w:val="000000" w:themeColor="text1"/>
          <w:sz w:val="21"/>
          <w:szCs w:val="21"/>
          <w:lang w:val="en" w:eastAsia="nl-BE"/>
        </w:rPr>
        <w:t>organisations</w:t>
      </w:r>
      <w:proofErr w:type="spellEnd"/>
      <w:r w:rsidRPr="00E477CF">
        <w:rPr>
          <w:rFonts w:eastAsia="Times New Roman" w:cs="Arial"/>
          <w:color w:val="000000" w:themeColor="text1"/>
          <w:sz w:val="21"/>
          <w:szCs w:val="21"/>
          <w:lang w:val="en" w:eastAsia="nl-BE"/>
        </w:rPr>
        <w:t xml:space="preserve"> and higher education institutions.</w:t>
      </w:r>
    </w:p>
    <w:p w:rsidR="00053498" w:rsidRDefault="00681F1B" w:rsidP="0065293E">
      <w:pPr>
        <w:numPr>
          <w:ilvl w:val="0"/>
          <w:numId w:val="1"/>
        </w:numPr>
        <w:spacing w:after="150" w:line="240" w:lineRule="auto"/>
        <w:ind w:left="270"/>
        <w:jc w:val="both"/>
        <w:rPr>
          <w:rFonts w:eastAsia="Times New Roman" w:cs="Arial"/>
          <w:color w:val="000000" w:themeColor="text1"/>
          <w:sz w:val="21"/>
          <w:szCs w:val="21"/>
          <w:lang w:val="en" w:eastAsia="nl-BE"/>
        </w:rPr>
        <w:sectPr w:rsidR="00053498" w:rsidSect="00053498">
          <w:headerReference w:type="default" r:id="rId8"/>
          <w:footerReference w:type="default" r:id="rId9"/>
          <w:pgSz w:w="11906" w:h="16838"/>
          <w:pgMar w:top="1417" w:right="1417" w:bottom="1417" w:left="1417" w:header="708" w:footer="567" w:gutter="0"/>
          <w:cols w:space="708"/>
          <w:docGrid w:linePitch="360"/>
        </w:sectPr>
      </w:pPr>
      <w:r w:rsidRPr="00E477CF">
        <w:rPr>
          <w:rFonts w:eastAsia="Times New Roman" w:cs="Arial"/>
          <w:b/>
          <w:bCs/>
          <w:color w:val="000000" w:themeColor="text1"/>
          <w:sz w:val="21"/>
          <w:szCs w:val="21"/>
          <w:lang w:val="en" w:eastAsia="nl-BE"/>
        </w:rPr>
        <w:t>Awareness raising in particular about EU higher education policy</w:t>
      </w:r>
      <w:r w:rsidRPr="00E477CF">
        <w:rPr>
          <w:rFonts w:eastAsia="Times New Roman" w:cs="Arial"/>
          <w:color w:val="000000" w:themeColor="text1"/>
          <w:sz w:val="21"/>
          <w:szCs w:val="21"/>
          <w:lang w:val="en" w:eastAsia="nl-BE"/>
        </w:rPr>
        <w:t xml:space="preserve"> – namely the EU </w:t>
      </w:r>
      <w:proofErr w:type="spellStart"/>
      <w:r w:rsidRPr="00E477CF">
        <w:rPr>
          <w:rFonts w:eastAsia="Times New Roman" w:cs="Arial"/>
          <w:color w:val="000000" w:themeColor="text1"/>
          <w:sz w:val="21"/>
          <w:szCs w:val="21"/>
          <w:lang w:val="en" w:eastAsia="nl-BE"/>
        </w:rPr>
        <w:t>Modernisation</w:t>
      </w:r>
      <w:proofErr w:type="spellEnd"/>
      <w:r w:rsidRPr="00E477CF">
        <w:rPr>
          <w:rFonts w:eastAsia="Times New Roman" w:cs="Arial"/>
          <w:color w:val="000000" w:themeColor="text1"/>
          <w:sz w:val="21"/>
          <w:szCs w:val="21"/>
          <w:lang w:val="en" w:eastAsia="nl-BE"/>
        </w:rPr>
        <w:t xml:space="preserve"> Agenda – </w:t>
      </w:r>
      <w:r w:rsidRPr="00E477CF">
        <w:rPr>
          <w:rFonts w:eastAsia="Times New Roman" w:cs="Arial"/>
          <w:b/>
          <w:bCs/>
          <w:color w:val="000000" w:themeColor="text1"/>
          <w:sz w:val="21"/>
          <w:szCs w:val="21"/>
          <w:lang w:val="en" w:eastAsia="nl-BE"/>
        </w:rPr>
        <w:t>and policy developments in the EHEA</w:t>
      </w:r>
      <w:r w:rsidRPr="00E477CF">
        <w:rPr>
          <w:rFonts w:eastAsia="Times New Roman" w:cs="Arial"/>
          <w:color w:val="000000" w:themeColor="text1"/>
          <w:sz w:val="21"/>
          <w:szCs w:val="21"/>
          <w:lang w:val="en" w:eastAsia="nl-BE"/>
        </w:rPr>
        <w:t>, and how these policies could poten</w:t>
      </w:r>
      <w:r w:rsidR="00053498">
        <w:rPr>
          <w:rFonts w:eastAsia="Times New Roman" w:cs="Arial"/>
          <w:color w:val="000000" w:themeColor="text1"/>
          <w:sz w:val="21"/>
          <w:szCs w:val="21"/>
          <w:lang w:val="en" w:eastAsia="nl-BE"/>
        </w:rPr>
        <w:t>tially impact partner countries</w:t>
      </w:r>
    </w:p>
    <w:p w:rsidR="00681F1B" w:rsidRPr="00E477CF" w:rsidRDefault="00681F1B" w:rsidP="0065293E">
      <w:pPr>
        <w:numPr>
          <w:ilvl w:val="0"/>
          <w:numId w:val="1"/>
        </w:numPr>
        <w:spacing w:after="150" w:line="240" w:lineRule="auto"/>
        <w:ind w:left="270"/>
        <w:jc w:val="both"/>
        <w:rPr>
          <w:rFonts w:eastAsia="Times New Roman" w:cs="Arial"/>
          <w:color w:val="000000" w:themeColor="text1"/>
          <w:sz w:val="21"/>
          <w:szCs w:val="21"/>
          <w:lang w:val="en" w:eastAsia="nl-BE"/>
        </w:rPr>
      </w:pPr>
      <w:r w:rsidRPr="00E477CF">
        <w:rPr>
          <w:rFonts w:eastAsia="Times New Roman" w:cs="Arial"/>
          <w:b/>
          <w:bCs/>
          <w:color w:val="000000" w:themeColor="text1"/>
          <w:sz w:val="21"/>
          <w:szCs w:val="21"/>
          <w:lang w:val="en" w:eastAsia="nl-BE"/>
        </w:rPr>
        <w:lastRenderedPageBreak/>
        <w:t>Enhancing networking</w:t>
      </w:r>
      <w:r w:rsidRPr="00E477CF">
        <w:rPr>
          <w:rFonts w:eastAsia="Times New Roman" w:cs="Arial"/>
          <w:color w:val="000000" w:themeColor="text1"/>
          <w:sz w:val="21"/>
          <w:szCs w:val="21"/>
          <w:lang w:val="en" w:eastAsia="nl-BE"/>
        </w:rPr>
        <w:t xml:space="preserve"> between HERE</w:t>
      </w:r>
      <w:r w:rsidR="000C399E" w:rsidRPr="00E477CF">
        <w:rPr>
          <w:rFonts w:eastAsia="Times New Roman" w:cs="Arial"/>
          <w:color w:val="000000" w:themeColor="text1"/>
          <w:sz w:val="21"/>
          <w:szCs w:val="21"/>
          <w:lang w:val="en" w:eastAsia="nl-BE"/>
        </w:rPr>
        <w:t>s</w:t>
      </w:r>
      <w:r w:rsidRPr="00E477CF">
        <w:rPr>
          <w:rFonts w:eastAsia="Times New Roman" w:cs="Arial"/>
          <w:color w:val="000000" w:themeColor="text1"/>
          <w:sz w:val="21"/>
          <w:szCs w:val="21"/>
          <w:lang w:val="en" w:eastAsia="nl-BE"/>
        </w:rPr>
        <w:t xml:space="preserve"> of different countries through a variety of regional and international activities.</w:t>
      </w:r>
    </w:p>
    <w:p w:rsidR="00681F1B" w:rsidRDefault="00681F1B" w:rsidP="00053498">
      <w:pPr>
        <w:numPr>
          <w:ilvl w:val="0"/>
          <w:numId w:val="1"/>
        </w:numPr>
        <w:spacing w:after="0" w:line="240" w:lineRule="auto"/>
        <w:ind w:left="270"/>
        <w:jc w:val="both"/>
        <w:rPr>
          <w:rFonts w:eastAsia="Times New Roman" w:cs="Arial"/>
          <w:color w:val="000000" w:themeColor="text1"/>
          <w:sz w:val="21"/>
          <w:szCs w:val="21"/>
          <w:lang w:val="en" w:eastAsia="nl-BE"/>
        </w:rPr>
      </w:pPr>
      <w:r w:rsidRPr="00E477CF">
        <w:rPr>
          <w:rFonts w:eastAsia="Times New Roman" w:cs="Arial"/>
          <w:b/>
          <w:bCs/>
          <w:color w:val="000000" w:themeColor="text1"/>
          <w:sz w:val="21"/>
          <w:szCs w:val="21"/>
          <w:lang w:val="en" w:eastAsia="nl-BE"/>
        </w:rPr>
        <w:t>Peer learning</w:t>
      </w:r>
      <w:r w:rsidRPr="00E477CF">
        <w:rPr>
          <w:rFonts w:eastAsia="Times New Roman" w:cs="Arial"/>
          <w:color w:val="000000" w:themeColor="text1"/>
          <w:sz w:val="21"/>
          <w:szCs w:val="21"/>
          <w:lang w:val="en" w:eastAsia="nl-BE"/>
        </w:rPr>
        <w:t xml:space="preserve"> to allow HERE teams at different levels of knowledge and experience to learn from each other. </w:t>
      </w:r>
    </w:p>
    <w:p w:rsidR="00053498" w:rsidRPr="00E477CF" w:rsidRDefault="00053498" w:rsidP="00053498">
      <w:pPr>
        <w:spacing w:after="0" w:line="240" w:lineRule="auto"/>
        <w:ind w:left="270"/>
        <w:jc w:val="both"/>
        <w:rPr>
          <w:rFonts w:eastAsia="Times New Roman" w:cs="Arial"/>
          <w:color w:val="000000" w:themeColor="text1"/>
          <w:sz w:val="21"/>
          <w:szCs w:val="21"/>
          <w:lang w:val="en" w:eastAsia="nl-BE"/>
        </w:rPr>
      </w:pPr>
    </w:p>
    <w:p w:rsidR="0065293E" w:rsidRDefault="0065293E" w:rsidP="00053498">
      <w:pPr>
        <w:pStyle w:val="berschrift1"/>
        <w:spacing w:before="0"/>
        <w:rPr>
          <w:lang w:val="en" w:eastAsia="nl-BE"/>
        </w:rPr>
      </w:pPr>
      <w:r>
        <w:rPr>
          <w:lang w:val="en" w:eastAsia="nl-BE"/>
        </w:rPr>
        <w:t>Activities</w:t>
      </w:r>
    </w:p>
    <w:p w:rsidR="00681F1B" w:rsidRPr="00E477CF" w:rsidRDefault="000C399E" w:rsidP="0065293E">
      <w:pPr>
        <w:spacing w:after="150" w:line="240" w:lineRule="auto"/>
        <w:jc w:val="both"/>
        <w:rPr>
          <w:rFonts w:eastAsia="Times New Roman" w:cs="Arial"/>
          <w:color w:val="000000" w:themeColor="text1"/>
          <w:sz w:val="21"/>
          <w:szCs w:val="21"/>
          <w:lang w:val="en" w:eastAsia="nl-BE"/>
        </w:rPr>
      </w:pPr>
      <w:r w:rsidRPr="00E477CF">
        <w:rPr>
          <w:rFonts w:eastAsia="Times New Roman" w:cs="Arial"/>
          <w:color w:val="000000" w:themeColor="text1"/>
          <w:sz w:val="21"/>
          <w:szCs w:val="21"/>
          <w:lang w:val="en" w:eastAsia="nl-BE"/>
        </w:rPr>
        <w:t>The following activities are</w:t>
      </w:r>
      <w:r w:rsidR="00681F1B" w:rsidRPr="00E477CF">
        <w:rPr>
          <w:rFonts w:eastAsia="Times New Roman" w:cs="Arial"/>
          <w:color w:val="000000" w:themeColor="text1"/>
          <w:sz w:val="21"/>
          <w:szCs w:val="21"/>
          <w:lang w:val="en" w:eastAsia="nl-BE"/>
        </w:rPr>
        <w:t xml:space="preserve"> </w:t>
      </w:r>
      <w:proofErr w:type="spellStart"/>
      <w:r w:rsidR="00681F1B" w:rsidRPr="00E477CF">
        <w:rPr>
          <w:rFonts w:eastAsia="Times New Roman" w:cs="Arial"/>
          <w:color w:val="000000" w:themeColor="text1"/>
          <w:sz w:val="21"/>
          <w:szCs w:val="21"/>
          <w:lang w:val="en" w:eastAsia="nl-BE"/>
        </w:rPr>
        <w:t>organised</w:t>
      </w:r>
      <w:proofErr w:type="spellEnd"/>
      <w:r w:rsidR="00681F1B" w:rsidRPr="00E477CF">
        <w:rPr>
          <w:rFonts w:eastAsia="Times New Roman" w:cs="Arial"/>
          <w:color w:val="000000" w:themeColor="text1"/>
          <w:sz w:val="21"/>
          <w:szCs w:val="21"/>
          <w:lang w:val="en" w:eastAsia="nl-BE"/>
        </w:rPr>
        <w:t xml:space="preserve"> on an annual basis:</w:t>
      </w:r>
    </w:p>
    <w:p w:rsidR="00681F1B" w:rsidRPr="00E477CF" w:rsidRDefault="00681F1B" w:rsidP="0065293E">
      <w:pPr>
        <w:numPr>
          <w:ilvl w:val="0"/>
          <w:numId w:val="3"/>
        </w:numPr>
        <w:spacing w:after="150" w:line="240" w:lineRule="auto"/>
        <w:ind w:left="270"/>
        <w:jc w:val="both"/>
        <w:rPr>
          <w:rFonts w:eastAsia="Times New Roman" w:cs="Arial"/>
          <w:color w:val="000000" w:themeColor="text1"/>
          <w:sz w:val="21"/>
          <w:szCs w:val="21"/>
          <w:lang w:val="en" w:eastAsia="nl-BE"/>
        </w:rPr>
      </w:pPr>
      <w:r w:rsidRPr="00E477CF">
        <w:rPr>
          <w:rFonts w:eastAsia="Times New Roman" w:cs="Arial"/>
          <w:b/>
          <w:bCs/>
          <w:color w:val="000000" w:themeColor="text1"/>
          <w:sz w:val="21"/>
          <w:szCs w:val="21"/>
          <w:lang w:val="en" w:eastAsia="nl-BE"/>
        </w:rPr>
        <w:t>An international conference</w:t>
      </w:r>
      <w:r w:rsidRPr="00E477CF">
        <w:rPr>
          <w:rFonts w:eastAsia="Times New Roman" w:cs="Arial"/>
          <w:color w:val="000000" w:themeColor="text1"/>
          <w:sz w:val="21"/>
          <w:szCs w:val="21"/>
          <w:lang w:val="en" w:eastAsia="nl-BE"/>
        </w:rPr>
        <w:t>, usually towards the end of the year, linking different themes and topics.</w:t>
      </w:r>
    </w:p>
    <w:p w:rsidR="00681F1B" w:rsidRPr="00E477CF" w:rsidRDefault="00681F1B" w:rsidP="0065293E">
      <w:pPr>
        <w:numPr>
          <w:ilvl w:val="0"/>
          <w:numId w:val="3"/>
        </w:numPr>
        <w:spacing w:after="150" w:line="240" w:lineRule="auto"/>
        <w:ind w:left="270"/>
        <w:jc w:val="both"/>
        <w:rPr>
          <w:rFonts w:eastAsia="Times New Roman" w:cs="Arial"/>
          <w:color w:val="000000" w:themeColor="text1"/>
          <w:sz w:val="21"/>
          <w:szCs w:val="21"/>
          <w:lang w:val="en" w:eastAsia="nl-BE"/>
        </w:rPr>
      </w:pPr>
      <w:r w:rsidRPr="00E477CF">
        <w:rPr>
          <w:rFonts w:eastAsia="Times New Roman" w:cs="Arial"/>
          <w:color w:val="000000" w:themeColor="text1"/>
          <w:sz w:val="21"/>
          <w:szCs w:val="21"/>
          <w:lang w:val="en" w:eastAsia="nl-BE"/>
        </w:rPr>
        <w:t>Two</w:t>
      </w:r>
      <w:r w:rsidRPr="00E477CF">
        <w:rPr>
          <w:rFonts w:eastAsia="Times New Roman" w:cs="Arial"/>
          <w:b/>
          <w:bCs/>
          <w:color w:val="000000" w:themeColor="text1"/>
          <w:sz w:val="21"/>
          <w:szCs w:val="21"/>
          <w:lang w:val="en" w:eastAsia="nl-BE"/>
        </w:rPr>
        <w:t xml:space="preserve"> thematic seminars</w:t>
      </w:r>
      <w:r w:rsidRPr="00E477CF">
        <w:rPr>
          <w:rFonts w:eastAsia="Times New Roman" w:cs="Arial"/>
          <w:color w:val="000000" w:themeColor="text1"/>
          <w:sz w:val="21"/>
          <w:szCs w:val="21"/>
          <w:lang w:val="en" w:eastAsia="nl-BE"/>
        </w:rPr>
        <w:t xml:space="preserve"> in different partner countries and European countries. </w:t>
      </w:r>
    </w:p>
    <w:p w:rsidR="00681F1B" w:rsidRPr="00E477CF" w:rsidRDefault="00681F1B" w:rsidP="0065293E">
      <w:pPr>
        <w:numPr>
          <w:ilvl w:val="0"/>
          <w:numId w:val="3"/>
        </w:numPr>
        <w:spacing w:after="150" w:line="240" w:lineRule="auto"/>
        <w:ind w:left="270"/>
        <w:jc w:val="both"/>
        <w:rPr>
          <w:rFonts w:eastAsia="Times New Roman" w:cs="Arial"/>
          <w:color w:val="000000" w:themeColor="text1"/>
          <w:sz w:val="21"/>
          <w:szCs w:val="21"/>
          <w:lang w:val="en" w:eastAsia="nl-BE"/>
        </w:rPr>
      </w:pPr>
      <w:r w:rsidRPr="00E477CF">
        <w:rPr>
          <w:rFonts w:eastAsia="Times New Roman" w:cs="Arial"/>
          <w:color w:val="000000" w:themeColor="text1"/>
          <w:sz w:val="21"/>
          <w:szCs w:val="21"/>
          <w:lang w:val="en" w:eastAsia="nl-BE"/>
        </w:rPr>
        <w:t xml:space="preserve">Two </w:t>
      </w:r>
      <w:r w:rsidRPr="00E477CF">
        <w:rPr>
          <w:rFonts w:eastAsia="Times New Roman" w:cs="Arial"/>
          <w:b/>
          <w:bCs/>
          <w:color w:val="000000" w:themeColor="text1"/>
          <w:sz w:val="21"/>
          <w:szCs w:val="21"/>
          <w:lang w:val="en" w:eastAsia="nl-BE"/>
        </w:rPr>
        <w:t>study visits to universities</w:t>
      </w:r>
      <w:r w:rsidRPr="00E477CF">
        <w:rPr>
          <w:rFonts w:eastAsia="Times New Roman" w:cs="Arial"/>
          <w:color w:val="000000" w:themeColor="text1"/>
          <w:sz w:val="21"/>
          <w:szCs w:val="21"/>
          <w:lang w:val="en" w:eastAsia="nl-BE"/>
        </w:rPr>
        <w:t xml:space="preserve">, </w:t>
      </w:r>
      <w:proofErr w:type="spellStart"/>
      <w:r w:rsidRPr="00E477CF">
        <w:rPr>
          <w:rFonts w:eastAsia="Times New Roman" w:cs="Arial"/>
          <w:color w:val="000000" w:themeColor="text1"/>
          <w:sz w:val="21"/>
          <w:szCs w:val="21"/>
          <w:lang w:val="en" w:eastAsia="nl-BE"/>
        </w:rPr>
        <w:t>organised</w:t>
      </w:r>
      <w:proofErr w:type="spellEnd"/>
      <w:r w:rsidRPr="00E477CF">
        <w:rPr>
          <w:rFonts w:eastAsia="Times New Roman" w:cs="Arial"/>
          <w:color w:val="000000" w:themeColor="text1"/>
          <w:sz w:val="21"/>
          <w:szCs w:val="21"/>
          <w:lang w:val="en" w:eastAsia="nl-BE"/>
        </w:rPr>
        <w:t xml:space="preserve"> as a means to provide hands-on experience and peer-learning for the HERE</w:t>
      </w:r>
      <w:r w:rsidR="000C399E" w:rsidRPr="00E477CF">
        <w:rPr>
          <w:rFonts w:eastAsia="Times New Roman" w:cs="Arial"/>
          <w:color w:val="000000" w:themeColor="text1"/>
          <w:sz w:val="21"/>
          <w:szCs w:val="21"/>
          <w:lang w:val="en" w:eastAsia="nl-BE"/>
        </w:rPr>
        <w:t>s</w:t>
      </w:r>
      <w:r w:rsidRPr="00E477CF">
        <w:rPr>
          <w:rFonts w:eastAsia="Times New Roman" w:cs="Arial"/>
          <w:color w:val="000000" w:themeColor="text1"/>
          <w:sz w:val="21"/>
          <w:szCs w:val="21"/>
          <w:lang w:val="en" w:eastAsia="nl-BE"/>
        </w:rPr>
        <w:t>. </w:t>
      </w:r>
    </w:p>
    <w:p w:rsidR="00681F1B" w:rsidRPr="00E477CF" w:rsidRDefault="00681F1B" w:rsidP="0065293E">
      <w:pPr>
        <w:numPr>
          <w:ilvl w:val="0"/>
          <w:numId w:val="3"/>
        </w:numPr>
        <w:spacing w:after="150" w:line="240" w:lineRule="auto"/>
        <w:ind w:left="270"/>
        <w:jc w:val="both"/>
        <w:rPr>
          <w:rFonts w:eastAsia="Times New Roman" w:cs="Arial"/>
          <w:color w:val="000000" w:themeColor="text1"/>
          <w:sz w:val="21"/>
          <w:szCs w:val="21"/>
          <w:lang w:val="en" w:eastAsia="nl-BE"/>
        </w:rPr>
      </w:pPr>
      <w:r w:rsidRPr="00E477CF">
        <w:rPr>
          <w:rFonts w:eastAsia="Times New Roman" w:cs="Arial"/>
          <w:color w:val="000000" w:themeColor="text1"/>
          <w:sz w:val="21"/>
          <w:szCs w:val="21"/>
          <w:lang w:val="en" w:eastAsia="nl-BE"/>
        </w:rPr>
        <w:t xml:space="preserve">Around 50-60 </w:t>
      </w:r>
      <w:r w:rsidRPr="00E477CF">
        <w:rPr>
          <w:rFonts w:eastAsia="Times New Roman" w:cs="Arial"/>
          <w:b/>
          <w:bCs/>
          <w:color w:val="000000" w:themeColor="text1"/>
          <w:sz w:val="21"/>
          <w:szCs w:val="21"/>
          <w:lang w:val="en" w:eastAsia="nl-BE"/>
        </w:rPr>
        <w:t>technical assistance missions</w:t>
      </w:r>
      <w:r w:rsidRPr="00E477CF">
        <w:rPr>
          <w:rFonts w:eastAsia="Times New Roman" w:cs="Arial"/>
          <w:color w:val="000000" w:themeColor="text1"/>
          <w:sz w:val="21"/>
          <w:szCs w:val="21"/>
          <w:lang w:val="en" w:eastAsia="nl-BE"/>
        </w:rPr>
        <w:t>, as a means of providing targeted support and consultancy to the HERE and the academic community and government in their respective countries.</w:t>
      </w:r>
    </w:p>
    <w:p w:rsidR="00681F1B" w:rsidRPr="0090558E" w:rsidRDefault="0090558E" w:rsidP="0065293E">
      <w:pPr>
        <w:numPr>
          <w:ilvl w:val="0"/>
          <w:numId w:val="3"/>
        </w:numPr>
        <w:spacing w:after="150" w:line="240" w:lineRule="auto"/>
        <w:ind w:left="270"/>
        <w:jc w:val="both"/>
        <w:rPr>
          <w:rFonts w:eastAsia="Times New Roman" w:cs="Arial"/>
          <w:color w:val="000000" w:themeColor="text1"/>
          <w:sz w:val="21"/>
          <w:szCs w:val="21"/>
          <w:lang w:val="en" w:eastAsia="nl-BE"/>
        </w:rPr>
      </w:pPr>
      <w:r w:rsidRPr="0090558E">
        <w:rPr>
          <w:rFonts w:eastAsia="Times New Roman" w:cs="Arial"/>
          <w:b/>
          <w:iCs/>
          <w:color w:val="000000" w:themeColor="text1"/>
          <w:sz w:val="21"/>
          <w:szCs w:val="21"/>
          <w:lang w:val="en" w:eastAsia="nl-BE"/>
        </w:rPr>
        <w:t>An</w:t>
      </w:r>
      <w:r w:rsidRPr="0090558E">
        <w:rPr>
          <w:rFonts w:eastAsia="Times New Roman" w:cs="Arial"/>
          <w:iCs/>
          <w:color w:val="000000" w:themeColor="text1"/>
          <w:sz w:val="21"/>
          <w:szCs w:val="21"/>
          <w:lang w:val="en" w:eastAsia="nl-BE"/>
        </w:rPr>
        <w:t xml:space="preserve"> </w:t>
      </w:r>
      <w:r w:rsidR="00681F1B" w:rsidRPr="0090558E">
        <w:rPr>
          <w:rFonts w:eastAsia="Times New Roman" w:cs="Arial"/>
          <w:b/>
          <w:iCs/>
          <w:color w:val="000000" w:themeColor="text1"/>
          <w:sz w:val="21"/>
          <w:szCs w:val="21"/>
          <w:lang w:val="en" w:eastAsia="nl-BE"/>
        </w:rPr>
        <w:t>Higher Education Reform Portal</w:t>
      </w:r>
      <w:r>
        <w:rPr>
          <w:rFonts w:eastAsia="Times New Roman" w:cs="Arial"/>
          <w:b/>
          <w:iCs/>
          <w:color w:val="000000" w:themeColor="text1"/>
          <w:sz w:val="21"/>
          <w:szCs w:val="21"/>
          <w:lang w:val="en" w:eastAsia="nl-BE"/>
        </w:rPr>
        <w:t xml:space="preserve"> </w:t>
      </w:r>
      <w:r w:rsidRPr="0090558E">
        <w:rPr>
          <w:rFonts w:eastAsia="Times New Roman" w:cs="Arial"/>
          <w:iCs/>
          <w:color w:val="000000" w:themeColor="text1"/>
          <w:sz w:val="21"/>
          <w:szCs w:val="21"/>
          <w:lang w:val="en" w:eastAsia="nl-BE"/>
        </w:rPr>
        <w:t xml:space="preserve">– comprising information on reform in Europe and partner countries, and also </w:t>
      </w:r>
      <w:r>
        <w:rPr>
          <w:rFonts w:eastAsia="Times New Roman" w:cs="Arial"/>
          <w:iCs/>
          <w:color w:val="000000" w:themeColor="text1"/>
          <w:sz w:val="21"/>
          <w:szCs w:val="21"/>
          <w:lang w:val="en" w:eastAsia="nl-BE"/>
        </w:rPr>
        <w:t>a forum for exchange among the HERE</w:t>
      </w:r>
    </w:p>
    <w:p w:rsidR="00C634FE" w:rsidRDefault="009F5175" w:rsidP="0065293E">
      <w:pPr>
        <w:pStyle w:val="berschrift2"/>
        <w:jc w:val="both"/>
        <w:rPr>
          <w:lang w:val="en"/>
        </w:rPr>
      </w:pPr>
      <w:r>
        <w:rPr>
          <w:lang w:val="en"/>
        </w:rPr>
        <w:t>A</w:t>
      </w:r>
      <w:r w:rsidRPr="009F5175">
        <w:rPr>
          <w:lang w:val="en"/>
        </w:rPr>
        <w:t>ctivities</w:t>
      </w:r>
      <w:r w:rsidR="000C399E">
        <w:rPr>
          <w:lang w:val="en"/>
        </w:rPr>
        <w:t xml:space="preserve"> undertaken in 2015</w:t>
      </w:r>
    </w:p>
    <w:p w:rsidR="004A22BE" w:rsidRPr="0068344C" w:rsidRDefault="004A22BE" w:rsidP="0065293E">
      <w:pPr>
        <w:pStyle w:val="Default"/>
        <w:jc w:val="both"/>
        <w:rPr>
          <w:rFonts w:asciiTheme="minorHAnsi" w:hAnsiTheme="minorHAnsi"/>
          <w:sz w:val="21"/>
          <w:szCs w:val="21"/>
        </w:rPr>
      </w:pPr>
    </w:p>
    <w:p w:rsidR="006D0972" w:rsidRPr="0068344C" w:rsidRDefault="0068344C" w:rsidP="0065293E">
      <w:pPr>
        <w:pStyle w:val="Pa1"/>
        <w:numPr>
          <w:ilvl w:val="0"/>
          <w:numId w:val="4"/>
        </w:numPr>
        <w:jc w:val="both"/>
        <w:rPr>
          <w:rFonts w:asciiTheme="minorHAnsi" w:hAnsiTheme="minorHAnsi" w:cs="Times New Roman"/>
          <w:bCs/>
          <w:color w:val="000000"/>
          <w:sz w:val="21"/>
          <w:szCs w:val="21"/>
          <w:lang w:val="en-GB"/>
        </w:rPr>
      </w:pPr>
      <w:r w:rsidRPr="0068344C">
        <w:rPr>
          <w:rFonts w:asciiTheme="minorHAnsi" w:hAnsiTheme="minorHAnsi" w:cs="Times New Roman"/>
          <w:color w:val="585650"/>
          <w:sz w:val="21"/>
          <w:szCs w:val="21"/>
          <w:lang w:val="en"/>
        </w:rPr>
        <w:t xml:space="preserve">Seminar: </w:t>
      </w:r>
      <w:r w:rsidRPr="0065293E">
        <w:rPr>
          <w:rFonts w:asciiTheme="minorHAnsi" w:hAnsiTheme="minorHAnsi" w:cs="Times New Roman"/>
          <w:b/>
          <w:color w:val="585650"/>
          <w:sz w:val="21"/>
          <w:szCs w:val="21"/>
          <w:lang w:val="en"/>
        </w:rPr>
        <w:t>Higher Education</w:t>
      </w:r>
      <w:r w:rsidR="006D0972" w:rsidRPr="0065293E">
        <w:rPr>
          <w:rFonts w:asciiTheme="minorHAnsi" w:hAnsiTheme="minorHAnsi" w:cs="Times New Roman"/>
          <w:b/>
          <w:color w:val="585650"/>
          <w:sz w:val="21"/>
          <w:szCs w:val="21"/>
          <w:lang w:val="en"/>
        </w:rPr>
        <w:t xml:space="preserve"> &amp;</w:t>
      </w:r>
      <w:r w:rsidRPr="0065293E">
        <w:rPr>
          <w:rFonts w:asciiTheme="minorHAnsi" w:hAnsiTheme="minorHAnsi" w:cs="Times New Roman"/>
          <w:b/>
          <w:color w:val="585650"/>
          <w:sz w:val="21"/>
          <w:szCs w:val="21"/>
          <w:lang w:val="en"/>
        </w:rPr>
        <w:t xml:space="preserve"> Vocational Education and </w:t>
      </w:r>
      <w:r w:rsidR="000C399E" w:rsidRPr="0065293E">
        <w:rPr>
          <w:rFonts w:asciiTheme="minorHAnsi" w:hAnsiTheme="minorHAnsi" w:cs="Times New Roman"/>
          <w:b/>
          <w:color w:val="585650"/>
          <w:sz w:val="21"/>
          <w:szCs w:val="21"/>
          <w:lang w:val="en"/>
        </w:rPr>
        <w:t>T</w:t>
      </w:r>
      <w:r w:rsidRPr="0065293E">
        <w:rPr>
          <w:rFonts w:asciiTheme="minorHAnsi" w:hAnsiTheme="minorHAnsi" w:cs="Times New Roman"/>
          <w:b/>
          <w:color w:val="585650"/>
          <w:sz w:val="21"/>
          <w:szCs w:val="21"/>
          <w:lang w:val="en"/>
        </w:rPr>
        <w:t>raining</w:t>
      </w:r>
      <w:r w:rsidR="0065293E">
        <w:rPr>
          <w:rFonts w:asciiTheme="minorHAnsi" w:hAnsiTheme="minorHAnsi" w:cs="Times New Roman"/>
          <w:b/>
          <w:i/>
          <w:color w:val="585650"/>
          <w:sz w:val="21"/>
          <w:szCs w:val="21"/>
          <w:lang w:val="en"/>
        </w:rPr>
        <w:t>,</w:t>
      </w:r>
      <w:r w:rsidR="000C399E" w:rsidRPr="0068344C">
        <w:rPr>
          <w:rFonts w:asciiTheme="minorHAnsi" w:hAnsiTheme="minorHAnsi" w:cs="Times New Roman"/>
          <w:i/>
          <w:color w:val="585650"/>
          <w:sz w:val="21"/>
          <w:szCs w:val="21"/>
          <w:lang w:val="en"/>
        </w:rPr>
        <w:t xml:space="preserve"> </w:t>
      </w:r>
      <w:r w:rsidR="000C399E" w:rsidRPr="0068344C">
        <w:rPr>
          <w:rFonts w:asciiTheme="minorHAnsi" w:hAnsiTheme="minorHAnsi" w:cs="Times New Roman"/>
          <w:color w:val="585650"/>
          <w:sz w:val="21"/>
          <w:szCs w:val="21"/>
          <w:lang w:val="en"/>
        </w:rPr>
        <w:t>10-11 March, Istanbul, Turkey</w:t>
      </w:r>
    </w:p>
    <w:p w:rsidR="00FE67E2" w:rsidRPr="0068344C" w:rsidRDefault="00FE67E2" w:rsidP="0065293E">
      <w:pPr>
        <w:pStyle w:val="Pa1"/>
        <w:numPr>
          <w:ilvl w:val="0"/>
          <w:numId w:val="4"/>
        </w:numPr>
        <w:jc w:val="both"/>
        <w:rPr>
          <w:rFonts w:asciiTheme="minorHAnsi" w:hAnsiTheme="minorHAnsi" w:cs="Times New Roman"/>
          <w:bCs/>
          <w:color w:val="000000"/>
          <w:sz w:val="21"/>
          <w:szCs w:val="21"/>
          <w:lang w:val="en-GB"/>
        </w:rPr>
      </w:pPr>
      <w:r w:rsidRPr="0068344C">
        <w:rPr>
          <w:rFonts w:asciiTheme="minorHAnsi" w:hAnsiTheme="minorHAnsi" w:cs="Times New Roman"/>
          <w:bCs/>
          <w:color w:val="000000"/>
          <w:sz w:val="21"/>
          <w:szCs w:val="21"/>
          <w:lang w:val="en-US"/>
        </w:rPr>
        <w:t xml:space="preserve">Study Visit: </w:t>
      </w:r>
      <w:r w:rsidRPr="0065293E">
        <w:rPr>
          <w:rFonts w:asciiTheme="minorHAnsi" w:hAnsiTheme="minorHAnsi" w:cs="Times New Roman"/>
          <w:b/>
          <w:bCs/>
          <w:iCs/>
          <w:color w:val="000000"/>
          <w:sz w:val="21"/>
          <w:szCs w:val="21"/>
          <w:lang w:val="en-US"/>
        </w:rPr>
        <w:t>Institutional structures for the management of</w:t>
      </w:r>
      <w:r w:rsidRPr="0065293E">
        <w:rPr>
          <w:rFonts w:ascii="MS Gothic" w:eastAsia="MS Gothic" w:hAnsi="MS Gothic" w:cs="MS Gothic" w:hint="eastAsia"/>
          <w:b/>
          <w:bCs/>
          <w:iCs/>
          <w:color w:val="000000"/>
          <w:sz w:val="21"/>
          <w:szCs w:val="21"/>
          <w:lang w:val="en-US"/>
        </w:rPr>
        <w:t> </w:t>
      </w:r>
      <w:proofErr w:type="spellStart"/>
      <w:r w:rsidRPr="0065293E">
        <w:rPr>
          <w:rFonts w:asciiTheme="minorHAnsi" w:hAnsiTheme="minorHAnsi" w:cs="Times New Roman"/>
          <w:b/>
          <w:bCs/>
          <w:iCs/>
          <w:color w:val="000000"/>
          <w:sz w:val="21"/>
          <w:szCs w:val="21"/>
          <w:lang w:val="en-US"/>
        </w:rPr>
        <w:t>internationalisation</w:t>
      </w:r>
      <w:proofErr w:type="spellEnd"/>
      <w:r w:rsidRPr="0065293E">
        <w:rPr>
          <w:rFonts w:asciiTheme="minorHAnsi" w:hAnsiTheme="minorHAnsi" w:cs="Times New Roman"/>
          <w:b/>
          <w:bCs/>
          <w:iCs/>
          <w:color w:val="000000"/>
          <w:sz w:val="21"/>
          <w:szCs w:val="21"/>
          <w:lang w:val="en-US"/>
        </w:rPr>
        <w:t xml:space="preserve"> and mobility</w:t>
      </w:r>
      <w:r w:rsidR="0065293E">
        <w:rPr>
          <w:rFonts w:asciiTheme="minorHAnsi" w:hAnsiTheme="minorHAnsi" w:cs="Times New Roman"/>
          <w:bCs/>
          <w:color w:val="000000"/>
          <w:sz w:val="21"/>
          <w:szCs w:val="21"/>
          <w:lang w:val="en-US"/>
        </w:rPr>
        <w:t>,</w:t>
      </w:r>
      <w:r w:rsidRPr="0068344C">
        <w:rPr>
          <w:rFonts w:asciiTheme="minorHAnsi" w:hAnsiTheme="minorHAnsi" w:cs="Times New Roman"/>
          <w:bCs/>
          <w:color w:val="000000"/>
          <w:sz w:val="21"/>
          <w:szCs w:val="21"/>
          <w:lang w:val="en-US"/>
        </w:rPr>
        <w:t xml:space="preserve"> 15-19 May, Berlin</w:t>
      </w:r>
    </w:p>
    <w:p w:rsidR="00FE67E2" w:rsidRPr="0068344C" w:rsidRDefault="00FE67E2" w:rsidP="0065293E">
      <w:pPr>
        <w:numPr>
          <w:ilvl w:val="0"/>
          <w:numId w:val="4"/>
        </w:numPr>
        <w:spacing w:after="0" w:line="259" w:lineRule="auto"/>
        <w:jc w:val="both"/>
        <w:rPr>
          <w:rFonts w:cs="Times New Roman"/>
          <w:bCs/>
          <w:color w:val="000000"/>
          <w:sz w:val="21"/>
          <w:szCs w:val="21"/>
          <w:lang w:val="en-GB"/>
        </w:rPr>
      </w:pPr>
      <w:r w:rsidRPr="0068344C">
        <w:rPr>
          <w:rFonts w:cs="Times New Roman"/>
          <w:bCs/>
          <w:color w:val="000000"/>
          <w:sz w:val="21"/>
          <w:szCs w:val="21"/>
          <w:lang w:val="en-GB"/>
        </w:rPr>
        <w:t xml:space="preserve">Study Visit: </w:t>
      </w:r>
      <w:r w:rsidRPr="0065293E">
        <w:rPr>
          <w:rFonts w:cs="Times New Roman"/>
          <w:b/>
          <w:bCs/>
          <w:iCs/>
          <w:color w:val="000000"/>
          <w:sz w:val="21"/>
          <w:szCs w:val="21"/>
          <w:lang w:val="en-GB"/>
        </w:rPr>
        <w:t>Organising International Credit Mobility</w:t>
      </w:r>
      <w:r w:rsidR="0065293E">
        <w:rPr>
          <w:rFonts w:cs="Times New Roman"/>
          <w:bCs/>
          <w:color w:val="000000"/>
          <w:sz w:val="21"/>
          <w:szCs w:val="21"/>
          <w:lang w:val="en-GB"/>
        </w:rPr>
        <w:t>,</w:t>
      </w:r>
      <w:r w:rsidRPr="0068344C">
        <w:rPr>
          <w:rFonts w:cs="Times New Roman"/>
          <w:bCs/>
          <w:color w:val="000000"/>
          <w:sz w:val="21"/>
          <w:szCs w:val="21"/>
          <w:lang w:val="en-GB"/>
        </w:rPr>
        <w:t xml:space="preserve"> 10-12 June, Ghent/Brussels</w:t>
      </w:r>
    </w:p>
    <w:p w:rsidR="00FE67E2" w:rsidRPr="0068344C" w:rsidRDefault="00FE67E2" w:rsidP="0065293E">
      <w:pPr>
        <w:numPr>
          <w:ilvl w:val="0"/>
          <w:numId w:val="4"/>
        </w:numPr>
        <w:spacing w:after="0" w:line="259" w:lineRule="auto"/>
        <w:jc w:val="both"/>
        <w:rPr>
          <w:rFonts w:cs="Times New Roman"/>
          <w:bCs/>
          <w:color w:val="000000"/>
          <w:sz w:val="21"/>
          <w:szCs w:val="21"/>
          <w:lang w:val="en-GB"/>
        </w:rPr>
      </w:pPr>
      <w:r w:rsidRPr="0068344C">
        <w:rPr>
          <w:rFonts w:cs="Times New Roman"/>
          <w:bCs/>
          <w:color w:val="000000"/>
          <w:sz w:val="21"/>
          <w:szCs w:val="21"/>
          <w:lang w:val="en-GB"/>
        </w:rPr>
        <w:t xml:space="preserve">Seminar: </w:t>
      </w:r>
      <w:r w:rsidRPr="0065293E">
        <w:rPr>
          <w:rFonts w:cs="Times New Roman"/>
          <w:b/>
          <w:bCs/>
          <w:iCs/>
          <w:color w:val="000000"/>
          <w:sz w:val="21"/>
          <w:szCs w:val="21"/>
          <w:lang w:val="en-US"/>
        </w:rPr>
        <w:t xml:space="preserve">ICT based learning: opportunities for higher </w:t>
      </w:r>
      <w:r w:rsidR="0065293E">
        <w:rPr>
          <w:rFonts w:cs="Times New Roman"/>
          <w:b/>
          <w:bCs/>
          <w:iCs/>
          <w:color w:val="000000"/>
          <w:sz w:val="21"/>
          <w:szCs w:val="21"/>
          <w:lang w:val="en-US"/>
        </w:rPr>
        <w:t xml:space="preserve">education learning and teaching, </w:t>
      </w:r>
      <w:r w:rsidRPr="0068344C">
        <w:rPr>
          <w:rFonts w:cs="Times New Roman"/>
          <w:bCs/>
          <w:color w:val="000000"/>
          <w:sz w:val="21"/>
          <w:szCs w:val="21"/>
          <w:lang w:val="en-US"/>
        </w:rPr>
        <w:t>26-27 October, Petra, Jordan</w:t>
      </w:r>
    </w:p>
    <w:p w:rsidR="00FE67E2" w:rsidRPr="0068344C" w:rsidRDefault="00FE67E2" w:rsidP="0065293E">
      <w:pPr>
        <w:numPr>
          <w:ilvl w:val="0"/>
          <w:numId w:val="4"/>
        </w:numPr>
        <w:spacing w:after="0" w:line="259" w:lineRule="auto"/>
        <w:jc w:val="both"/>
        <w:rPr>
          <w:rFonts w:cs="Times New Roman"/>
          <w:bCs/>
          <w:color w:val="000000"/>
          <w:sz w:val="21"/>
          <w:szCs w:val="21"/>
          <w:lang w:val="en-GB"/>
        </w:rPr>
      </w:pPr>
      <w:r w:rsidRPr="0068344C">
        <w:rPr>
          <w:rFonts w:cs="Times New Roman"/>
          <w:bCs/>
          <w:color w:val="000000"/>
          <w:sz w:val="21"/>
          <w:szCs w:val="21"/>
          <w:lang w:val="en-GB"/>
        </w:rPr>
        <w:t xml:space="preserve">Conference: </w:t>
      </w:r>
      <w:r w:rsidRPr="0065293E">
        <w:rPr>
          <w:rFonts w:cs="Times New Roman"/>
          <w:b/>
          <w:bCs/>
          <w:iCs/>
          <w:color w:val="000000"/>
          <w:sz w:val="21"/>
          <w:szCs w:val="21"/>
          <w:lang w:val="en-GB"/>
        </w:rPr>
        <w:t>Innovating Teaching and Learning – the Next Phase of the Bologna Process</w:t>
      </w:r>
      <w:r w:rsidR="0065293E">
        <w:rPr>
          <w:rFonts w:cs="Times New Roman"/>
          <w:bCs/>
          <w:color w:val="000000"/>
          <w:sz w:val="21"/>
          <w:szCs w:val="21"/>
          <w:lang w:val="en-GB"/>
        </w:rPr>
        <w:t xml:space="preserve">, </w:t>
      </w:r>
      <w:r w:rsidRPr="0068344C">
        <w:rPr>
          <w:rFonts w:cs="Times New Roman"/>
          <w:bCs/>
          <w:color w:val="000000"/>
          <w:sz w:val="21"/>
          <w:szCs w:val="21"/>
          <w:lang w:val="en-GB"/>
        </w:rPr>
        <w:t>3-4 December, Tbilisi, Georgia</w:t>
      </w:r>
    </w:p>
    <w:p w:rsidR="006D0972" w:rsidRPr="0068344C" w:rsidRDefault="00FE67E2" w:rsidP="0065293E">
      <w:pPr>
        <w:numPr>
          <w:ilvl w:val="0"/>
          <w:numId w:val="4"/>
        </w:numPr>
        <w:spacing w:after="0" w:line="259" w:lineRule="auto"/>
        <w:jc w:val="both"/>
        <w:rPr>
          <w:rFonts w:cs="Times New Roman"/>
          <w:bCs/>
          <w:color w:val="000000"/>
          <w:sz w:val="21"/>
          <w:szCs w:val="21"/>
          <w:lang w:val="en-GB"/>
        </w:rPr>
      </w:pPr>
      <w:r w:rsidRPr="0068344C">
        <w:rPr>
          <w:rFonts w:cs="Times New Roman"/>
          <w:bCs/>
          <w:color w:val="000000"/>
          <w:sz w:val="21"/>
          <w:szCs w:val="21"/>
          <w:lang w:val="en-GB"/>
        </w:rPr>
        <w:t>Technical Assistance Missions (TAM)</w:t>
      </w:r>
    </w:p>
    <w:p w:rsidR="006D0972" w:rsidRPr="0068344C" w:rsidRDefault="00FE67E2" w:rsidP="0065293E">
      <w:pPr>
        <w:numPr>
          <w:ilvl w:val="1"/>
          <w:numId w:val="4"/>
        </w:numPr>
        <w:spacing w:after="0" w:line="259" w:lineRule="auto"/>
        <w:jc w:val="both"/>
        <w:rPr>
          <w:rFonts w:cs="Times New Roman"/>
          <w:bCs/>
          <w:color w:val="000000"/>
          <w:sz w:val="21"/>
          <w:szCs w:val="21"/>
          <w:lang w:val="en-GB"/>
        </w:rPr>
      </w:pPr>
      <w:r w:rsidRPr="0068344C">
        <w:rPr>
          <w:sz w:val="21"/>
          <w:szCs w:val="21"/>
          <w:lang w:val="en-US"/>
        </w:rPr>
        <w:t>4</w:t>
      </w:r>
      <w:r w:rsidR="006D0972" w:rsidRPr="0068344C">
        <w:rPr>
          <w:sz w:val="21"/>
          <w:szCs w:val="21"/>
          <w:lang w:val="en-US"/>
        </w:rPr>
        <w:t>3 scheduled:</w:t>
      </w:r>
      <w:r w:rsidR="006D0972" w:rsidRPr="0068344C">
        <w:rPr>
          <w:rFonts w:cs="Times New Roman"/>
          <w:b/>
          <w:bCs/>
          <w:color w:val="000000"/>
          <w:sz w:val="21"/>
          <w:szCs w:val="21"/>
          <w:lang w:val="en-GB"/>
        </w:rPr>
        <w:t xml:space="preserve"> </w:t>
      </w:r>
      <w:r w:rsidRPr="0068344C">
        <w:rPr>
          <w:sz w:val="21"/>
          <w:szCs w:val="21"/>
          <w:lang w:val="en-US"/>
        </w:rPr>
        <w:t>31 delivered by end 2015</w:t>
      </w:r>
      <w:r w:rsidR="006D0972" w:rsidRPr="0068344C">
        <w:rPr>
          <w:rFonts w:cs="Times New Roman"/>
          <w:b/>
          <w:bCs/>
          <w:color w:val="000000"/>
          <w:sz w:val="21"/>
          <w:szCs w:val="21"/>
          <w:lang w:val="en-GB"/>
        </w:rPr>
        <w:t xml:space="preserve">, </w:t>
      </w:r>
      <w:r w:rsidRPr="0068344C">
        <w:rPr>
          <w:sz w:val="21"/>
          <w:szCs w:val="21"/>
          <w:lang w:val="en-US"/>
        </w:rPr>
        <w:t>12 pushed to Jan/Feb 2016</w:t>
      </w:r>
    </w:p>
    <w:p w:rsidR="006D0972" w:rsidRPr="0068344C" w:rsidRDefault="00FE67E2" w:rsidP="0065293E">
      <w:pPr>
        <w:numPr>
          <w:ilvl w:val="1"/>
          <w:numId w:val="4"/>
        </w:numPr>
        <w:spacing w:after="0" w:line="259" w:lineRule="auto"/>
        <w:jc w:val="both"/>
        <w:rPr>
          <w:rFonts w:cs="Times New Roman"/>
          <w:bCs/>
          <w:color w:val="000000"/>
          <w:sz w:val="21"/>
          <w:szCs w:val="21"/>
          <w:lang w:val="en-GB"/>
        </w:rPr>
      </w:pPr>
      <w:r w:rsidRPr="0068344C">
        <w:rPr>
          <w:sz w:val="21"/>
          <w:szCs w:val="21"/>
          <w:lang w:val="en-US"/>
        </w:rPr>
        <w:t xml:space="preserve">Themes: </w:t>
      </w:r>
      <w:r w:rsidRPr="0068344C">
        <w:rPr>
          <w:i/>
          <w:iCs/>
          <w:sz w:val="21"/>
          <w:szCs w:val="21"/>
          <w:lang w:val="en-US"/>
        </w:rPr>
        <w:t>Joint degrees (5), quality assurance (5), NQFs, doctoral studies (5), student-</w:t>
      </w:r>
      <w:proofErr w:type="spellStart"/>
      <w:r w:rsidRPr="0068344C">
        <w:rPr>
          <w:i/>
          <w:iCs/>
          <w:sz w:val="21"/>
          <w:szCs w:val="21"/>
          <w:lang w:val="en-US"/>
        </w:rPr>
        <w:t>centred</w:t>
      </w:r>
      <w:proofErr w:type="spellEnd"/>
      <w:r w:rsidRPr="0068344C">
        <w:rPr>
          <w:i/>
          <w:iCs/>
          <w:sz w:val="21"/>
          <w:szCs w:val="21"/>
          <w:lang w:val="en-US"/>
        </w:rPr>
        <w:t xml:space="preserve"> learning (5), teacher training/teaching excellence (3), e-learning (3)</w:t>
      </w:r>
    </w:p>
    <w:p w:rsidR="006D0972" w:rsidRPr="0068344C" w:rsidRDefault="00FE67E2" w:rsidP="0065293E">
      <w:pPr>
        <w:numPr>
          <w:ilvl w:val="1"/>
          <w:numId w:val="4"/>
        </w:numPr>
        <w:spacing w:after="0" w:line="259" w:lineRule="auto"/>
        <w:jc w:val="both"/>
        <w:rPr>
          <w:rFonts w:cs="Times New Roman"/>
          <w:bCs/>
          <w:color w:val="000000"/>
          <w:sz w:val="21"/>
          <w:szCs w:val="21"/>
          <w:lang w:val="en-GB"/>
        </w:rPr>
      </w:pPr>
      <w:r w:rsidRPr="0068344C">
        <w:rPr>
          <w:sz w:val="21"/>
          <w:szCs w:val="21"/>
          <w:lang w:val="en-US"/>
        </w:rPr>
        <w:t>TAM contributed to: National seminars, conferences, focus groups, meetings with ministry</w:t>
      </w:r>
    </w:p>
    <w:p w:rsidR="00FE67E2" w:rsidRPr="0068344C" w:rsidRDefault="00FE67E2" w:rsidP="0065293E">
      <w:pPr>
        <w:numPr>
          <w:ilvl w:val="1"/>
          <w:numId w:val="4"/>
        </w:numPr>
        <w:spacing w:after="0" w:line="259" w:lineRule="auto"/>
        <w:jc w:val="both"/>
        <w:rPr>
          <w:rFonts w:cs="Times New Roman"/>
          <w:bCs/>
          <w:color w:val="000000"/>
          <w:sz w:val="21"/>
          <w:szCs w:val="21"/>
          <w:lang w:val="en-GB"/>
        </w:rPr>
      </w:pPr>
      <w:r w:rsidRPr="0068344C">
        <w:rPr>
          <w:sz w:val="21"/>
          <w:szCs w:val="21"/>
          <w:lang w:val="en-US"/>
        </w:rPr>
        <w:t>Results posted on SPHERE Virtual Community (access only to HERE and NEO)</w:t>
      </w:r>
    </w:p>
    <w:p w:rsidR="009F5175" w:rsidRPr="00053498" w:rsidRDefault="009F5175" w:rsidP="0065293E">
      <w:pPr>
        <w:pStyle w:val="berschrift2"/>
        <w:jc w:val="both"/>
        <w:rPr>
          <w:color w:val="4F81BD"/>
          <w:lang w:val="en"/>
        </w:rPr>
      </w:pPr>
      <w:r w:rsidRPr="00053498">
        <w:rPr>
          <w:color w:val="4F81BD"/>
          <w:lang w:val="en"/>
        </w:rPr>
        <w:t xml:space="preserve">Activities planned for 2016 </w:t>
      </w:r>
      <w:r w:rsidR="0065293E" w:rsidRPr="00053498">
        <w:rPr>
          <w:color w:val="4F81BD"/>
          <w:lang w:val="en"/>
        </w:rPr>
        <w:t>(tentative)</w:t>
      </w:r>
    </w:p>
    <w:p w:rsidR="0055715D" w:rsidRPr="0068344C" w:rsidRDefault="0055715D" w:rsidP="0065293E">
      <w:pPr>
        <w:numPr>
          <w:ilvl w:val="0"/>
          <w:numId w:val="6"/>
        </w:numPr>
        <w:spacing w:after="60"/>
        <w:ind w:left="714" w:hanging="357"/>
        <w:jc w:val="both"/>
        <w:rPr>
          <w:rFonts w:eastAsia="Times New Roman"/>
          <w:color w:val="000000" w:themeColor="text1"/>
          <w:sz w:val="21"/>
          <w:szCs w:val="21"/>
          <w:lang w:val="en-GB"/>
        </w:rPr>
      </w:pPr>
      <w:r w:rsidRPr="0068344C">
        <w:rPr>
          <w:rFonts w:eastAsia="Times New Roman"/>
          <w:color w:val="000000" w:themeColor="text1"/>
          <w:sz w:val="21"/>
          <w:szCs w:val="21"/>
          <w:lang w:val="en-GB"/>
        </w:rPr>
        <w:t xml:space="preserve">March: Seminar </w:t>
      </w:r>
      <w:r w:rsidRPr="0068344C">
        <w:rPr>
          <w:rFonts w:eastAsia="Times New Roman"/>
          <w:b/>
          <w:bCs/>
          <w:color w:val="000000" w:themeColor="text1"/>
          <w:sz w:val="21"/>
          <w:szCs w:val="21"/>
          <w:lang w:val="en-GB"/>
        </w:rPr>
        <w:t>Joint degrees: strategic planning</w:t>
      </w:r>
      <w:r w:rsidR="0065293E">
        <w:rPr>
          <w:rFonts w:eastAsia="Times New Roman"/>
          <w:b/>
          <w:bCs/>
          <w:color w:val="000000" w:themeColor="text1"/>
          <w:sz w:val="21"/>
          <w:szCs w:val="21"/>
          <w:lang w:val="en-GB"/>
        </w:rPr>
        <w:t>, management, quality assurance (Serbia)</w:t>
      </w:r>
    </w:p>
    <w:p w:rsidR="0055715D" w:rsidRPr="0068344C" w:rsidRDefault="0055715D" w:rsidP="0065293E">
      <w:pPr>
        <w:numPr>
          <w:ilvl w:val="0"/>
          <w:numId w:val="6"/>
        </w:numPr>
        <w:spacing w:after="60"/>
        <w:ind w:left="714" w:hanging="357"/>
        <w:jc w:val="both"/>
        <w:rPr>
          <w:rFonts w:eastAsia="Times New Roman"/>
          <w:color w:val="000000" w:themeColor="text1"/>
          <w:sz w:val="21"/>
          <w:szCs w:val="21"/>
          <w:lang w:val="en-GB"/>
        </w:rPr>
      </w:pPr>
      <w:r w:rsidRPr="0068344C">
        <w:rPr>
          <w:rFonts w:eastAsia="Times New Roman"/>
          <w:color w:val="000000" w:themeColor="text1"/>
          <w:sz w:val="21"/>
          <w:szCs w:val="21"/>
          <w:lang w:val="en-GB"/>
        </w:rPr>
        <w:t xml:space="preserve">April / May: Study visit </w:t>
      </w:r>
      <w:r w:rsidRPr="0068344C">
        <w:rPr>
          <w:rFonts w:eastAsia="Times New Roman"/>
          <w:b/>
          <w:bCs/>
          <w:color w:val="000000" w:themeColor="text1"/>
          <w:sz w:val="21"/>
          <w:szCs w:val="21"/>
          <w:lang w:val="en-GB"/>
        </w:rPr>
        <w:t>Learning outcom</w:t>
      </w:r>
      <w:r w:rsidR="0065293E">
        <w:rPr>
          <w:rFonts w:eastAsia="Times New Roman"/>
          <w:b/>
          <w:bCs/>
          <w:color w:val="000000" w:themeColor="text1"/>
          <w:sz w:val="21"/>
          <w:szCs w:val="21"/>
          <w:lang w:val="en-GB"/>
        </w:rPr>
        <w:t>es and student-centred learning</w:t>
      </w:r>
    </w:p>
    <w:p w:rsidR="0055715D" w:rsidRPr="0068344C" w:rsidRDefault="0055715D" w:rsidP="0065293E">
      <w:pPr>
        <w:numPr>
          <w:ilvl w:val="0"/>
          <w:numId w:val="6"/>
        </w:numPr>
        <w:spacing w:after="60"/>
        <w:ind w:left="714" w:hanging="357"/>
        <w:jc w:val="both"/>
        <w:rPr>
          <w:rFonts w:eastAsia="Times New Roman"/>
          <w:color w:val="000000" w:themeColor="text1"/>
          <w:sz w:val="21"/>
          <w:szCs w:val="21"/>
          <w:lang w:val="en-GB"/>
        </w:rPr>
      </w:pPr>
      <w:r w:rsidRPr="0068344C">
        <w:rPr>
          <w:rFonts w:eastAsia="Times New Roman"/>
          <w:color w:val="000000" w:themeColor="text1"/>
          <w:sz w:val="21"/>
          <w:szCs w:val="21"/>
          <w:lang w:val="en-GB"/>
        </w:rPr>
        <w:t>June: Study visit</w:t>
      </w:r>
      <w:r w:rsidR="0065293E">
        <w:rPr>
          <w:rFonts w:eastAsia="Times New Roman"/>
          <w:color w:val="000000" w:themeColor="text1"/>
          <w:sz w:val="21"/>
          <w:szCs w:val="21"/>
          <w:lang w:val="en-GB"/>
        </w:rPr>
        <w:t>:</w:t>
      </w:r>
      <w:r w:rsidRPr="0068344C">
        <w:rPr>
          <w:rFonts w:eastAsia="Times New Roman"/>
          <w:color w:val="000000" w:themeColor="text1"/>
          <w:sz w:val="21"/>
          <w:szCs w:val="21"/>
          <w:lang w:val="en-GB"/>
        </w:rPr>
        <w:t xml:space="preserve"> </w:t>
      </w:r>
      <w:r w:rsidRPr="0068344C">
        <w:rPr>
          <w:rFonts w:eastAsia="Times New Roman"/>
          <w:b/>
          <w:bCs/>
          <w:color w:val="000000" w:themeColor="text1"/>
          <w:sz w:val="21"/>
          <w:szCs w:val="21"/>
          <w:lang w:val="en-GB"/>
        </w:rPr>
        <w:t>Capacity Building in d</w:t>
      </w:r>
      <w:r w:rsidR="0065293E">
        <w:rPr>
          <w:rFonts w:eastAsia="Times New Roman"/>
          <w:b/>
          <w:bCs/>
          <w:color w:val="000000" w:themeColor="text1"/>
          <w:sz w:val="21"/>
          <w:szCs w:val="21"/>
          <w:lang w:val="en-GB"/>
        </w:rPr>
        <w:t xml:space="preserve">octoral education: </w:t>
      </w:r>
      <w:r w:rsidRPr="0068344C">
        <w:rPr>
          <w:rFonts w:eastAsia="Times New Roman"/>
          <w:b/>
          <w:bCs/>
          <w:color w:val="000000" w:themeColor="text1"/>
          <w:sz w:val="21"/>
          <w:szCs w:val="21"/>
          <w:lang w:val="en-GB"/>
        </w:rPr>
        <w:t>quality assurance and building doctoral schools</w:t>
      </w:r>
    </w:p>
    <w:p w:rsidR="0055715D" w:rsidRPr="0068344C" w:rsidRDefault="0055715D" w:rsidP="0065293E">
      <w:pPr>
        <w:numPr>
          <w:ilvl w:val="0"/>
          <w:numId w:val="6"/>
        </w:numPr>
        <w:spacing w:after="60"/>
        <w:ind w:left="714" w:hanging="357"/>
        <w:jc w:val="both"/>
        <w:rPr>
          <w:rFonts w:eastAsia="Times New Roman"/>
          <w:color w:val="000000" w:themeColor="text1"/>
          <w:sz w:val="21"/>
          <w:szCs w:val="21"/>
          <w:lang w:val="en-GB"/>
        </w:rPr>
      </w:pPr>
      <w:r w:rsidRPr="0068344C">
        <w:rPr>
          <w:rFonts w:eastAsia="Times New Roman"/>
          <w:color w:val="000000" w:themeColor="text1"/>
          <w:sz w:val="21"/>
          <w:szCs w:val="21"/>
          <w:lang w:val="en-GB"/>
        </w:rPr>
        <w:t xml:space="preserve">September: Seminar </w:t>
      </w:r>
      <w:r w:rsidR="0065293E">
        <w:rPr>
          <w:rFonts w:eastAsia="Times New Roman"/>
          <w:b/>
          <w:bCs/>
          <w:color w:val="000000" w:themeColor="text1"/>
          <w:sz w:val="21"/>
          <w:szCs w:val="21"/>
          <w:lang w:val="en-GB"/>
        </w:rPr>
        <w:t>Qualification frameworks:</w:t>
      </w:r>
      <w:r w:rsidRPr="0068344C">
        <w:rPr>
          <w:rFonts w:eastAsia="Times New Roman"/>
          <w:b/>
          <w:bCs/>
          <w:color w:val="000000" w:themeColor="text1"/>
          <w:sz w:val="21"/>
          <w:szCs w:val="21"/>
          <w:lang w:val="en-GB"/>
        </w:rPr>
        <w:t xml:space="preserve"> application and utility from a nati</w:t>
      </w:r>
      <w:r w:rsidR="0065293E">
        <w:rPr>
          <w:rFonts w:eastAsia="Times New Roman"/>
          <w:b/>
          <w:bCs/>
          <w:color w:val="000000" w:themeColor="text1"/>
          <w:sz w:val="21"/>
          <w:szCs w:val="21"/>
          <w:lang w:val="en-GB"/>
        </w:rPr>
        <w:t>onal and university perspective</w:t>
      </w:r>
    </w:p>
    <w:p w:rsidR="0055715D" w:rsidRPr="0068344C" w:rsidRDefault="0055715D" w:rsidP="0065293E">
      <w:pPr>
        <w:numPr>
          <w:ilvl w:val="0"/>
          <w:numId w:val="6"/>
        </w:numPr>
        <w:spacing w:after="60"/>
        <w:ind w:left="714" w:hanging="357"/>
        <w:jc w:val="both"/>
        <w:rPr>
          <w:rFonts w:eastAsia="Times New Roman"/>
          <w:b/>
          <w:bCs/>
          <w:color w:val="000000" w:themeColor="text1"/>
          <w:sz w:val="21"/>
          <w:szCs w:val="21"/>
          <w:lang w:val="en-GB"/>
        </w:rPr>
      </w:pPr>
      <w:r w:rsidRPr="0068344C">
        <w:rPr>
          <w:rFonts w:eastAsia="Times New Roman"/>
          <w:color w:val="000000" w:themeColor="text1"/>
          <w:sz w:val="21"/>
          <w:szCs w:val="21"/>
          <w:lang w:val="en-GB"/>
        </w:rPr>
        <w:t xml:space="preserve">October: Seminar </w:t>
      </w:r>
      <w:r w:rsidR="0065293E">
        <w:rPr>
          <w:rFonts w:eastAsia="Times New Roman"/>
          <w:b/>
          <w:bCs/>
          <w:color w:val="000000" w:themeColor="text1"/>
          <w:sz w:val="21"/>
          <w:szCs w:val="21"/>
          <w:lang w:val="en-GB"/>
        </w:rPr>
        <w:t xml:space="preserve">ESG in action: </w:t>
      </w:r>
      <w:r w:rsidRPr="0068344C">
        <w:rPr>
          <w:rFonts w:eastAsia="Times New Roman"/>
          <w:b/>
          <w:bCs/>
          <w:color w:val="000000" w:themeColor="text1"/>
          <w:sz w:val="21"/>
          <w:szCs w:val="21"/>
          <w:lang w:val="en-GB"/>
        </w:rPr>
        <w:t>revised European Standards and Guidelines for quality assurance and their implementation in universities and agencies</w:t>
      </w:r>
    </w:p>
    <w:p w:rsidR="00053498" w:rsidRDefault="0055715D" w:rsidP="0065293E">
      <w:pPr>
        <w:numPr>
          <w:ilvl w:val="0"/>
          <w:numId w:val="6"/>
        </w:numPr>
        <w:spacing w:after="60"/>
        <w:ind w:left="714" w:hanging="357"/>
        <w:jc w:val="both"/>
        <w:rPr>
          <w:rFonts w:eastAsia="Times New Roman"/>
          <w:color w:val="000000" w:themeColor="text1"/>
          <w:sz w:val="21"/>
          <w:szCs w:val="21"/>
          <w:lang w:val="en-GB"/>
        </w:rPr>
        <w:sectPr w:rsidR="00053498" w:rsidSect="00053498">
          <w:headerReference w:type="default" r:id="rId10"/>
          <w:pgSz w:w="11906" w:h="16838"/>
          <w:pgMar w:top="1417" w:right="1417" w:bottom="1417" w:left="1417" w:header="567" w:footer="567" w:gutter="0"/>
          <w:cols w:space="708"/>
          <w:docGrid w:linePitch="360"/>
        </w:sectPr>
      </w:pPr>
      <w:r w:rsidRPr="0068344C">
        <w:rPr>
          <w:rFonts w:eastAsia="Times New Roman"/>
          <w:color w:val="000000" w:themeColor="text1"/>
          <w:sz w:val="21"/>
          <w:szCs w:val="21"/>
          <w:lang w:val="en-GB"/>
        </w:rPr>
        <w:t>December: Annual conference (theme to be confirmed)</w:t>
      </w:r>
    </w:p>
    <w:p w:rsidR="00053498" w:rsidRDefault="00053498" w:rsidP="00053498">
      <w:pPr>
        <w:spacing w:after="60"/>
        <w:jc w:val="both"/>
        <w:rPr>
          <w:lang w:val="en-GB"/>
        </w:rPr>
      </w:pPr>
    </w:p>
    <w:p w:rsidR="00053498" w:rsidRPr="0068344C" w:rsidRDefault="001A78D7" w:rsidP="00053498">
      <w:pPr>
        <w:spacing w:after="60"/>
        <w:jc w:val="both"/>
        <w:rPr>
          <w:rFonts w:eastAsia="Times New Roman"/>
          <w:color w:val="000000" w:themeColor="text1"/>
          <w:sz w:val="21"/>
          <w:szCs w:val="21"/>
          <w:lang w:val="en-GB"/>
        </w:rPr>
      </w:pPr>
      <w:r w:rsidRPr="00053498">
        <w:rPr>
          <w:rFonts w:asciiTheme="majorHAnsi" w:hAnsiTheme="majorHAnsi"/>
          <w:b/>
          <w:color w:val="4F81BD"/>
          <w:sz w:val="26"/>
          <w:szCs w:val="26"/>
          <w:lang w:val="en-GB"/>
        </w:rPr>
        <w:t>Website</w:t>
      </w:r>
      <w:r w:rsidR="00053498" w:rsidRPr="00053498">
        <w:rPr>
          <w:rFonts w:asciiTheme="majorHAnsi" w:hAnsiTheme="majorHAnsi"/>
          <w:b/>
          <w:color w:val="4F81BD"/>
          <w:sz w:val="26"/>
          <w:szCs w:val="26"/>
          <w:lang w:val="en-GB"/>
        </w:rPr>
        <w:t>:</w:t>
      </w:r>
      <w:r w:rsidRPr="00053498">
        <w:rPr>
          <w:color w:val="4F81BD"/>
          <w:lang w:val="en"/>
        </w:rPr>
        <w:t xml:space="preserve"> </w:t>
      </w:r>
      <w:r w:rsidRPr="0068344C">
        <w:rPr>
          <w:rFonts w:eastAsia="Times New Roman"/>
          <w:color w:val="000000" w:themeColor="text1"/>
          <w:sz w:val="21"/>
          <w:szCs w:val="21"/>
          <w:lang w:val="en-GB"/>
        </w:rPr>
        <w:t>http://supporthere.org/</w:t>
      </w:r>
    </w:p>
    <w:sectPr w:rsidR="00053498" w:rsidRPr="0068344C" w:rsidSect="00053498">
      <w:type w:val="continuous"/>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874" w:rsidRDefault="00D36874" w:rsidP="0068344C">
      <w:pPr>
        <w:spacing w:after="0" w:line="240" w:lineRule="auto"/>
      </w:pPr>
      <w:r>
        <w:separator/>
      </w:r>
    </w:p>
  </w:endnote>
  <w:endnote w:type="continuationSeparator" w:id="0">
    <w:p w:rsidR="00D36874" w:rsidRDefault="00D36874" w:rsidP="0068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DINPro-Medium">
    <w:altName w:val="DINPro-Medium"/>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98" w:rsidRDefault="00053498" w:rsidP="00053498">
    <w:pPr>
      <w:pStyle w:val="Fuzeile"/>
      <w:tabs>
        <w:tab w:val="clear" w:pos="9072"/>
      </w:tabs>
      <w:rPr>
        <w:noProof/>
      </w:rPr>
    </w:pPr>
  </w:p>
  <w:p w:rsidR="007837D8" w:rsidRDefault="00053498" w:rsidP="00053498">
    <w:pPr>
      <w:pStyle w:val="Fuzeile"/>
      <w:tabs>
        <w:tab w:val="clear" w:pos="9072"/>
      </w:tabs>
    </w:pPr>
    <w:r>
      <w:rPr>
        <w:noProof/>
      </w:rPr>
      <w:tab/>
    </w:r>
  </w:p>
  <w:p w:rsidR="007837D8" w:rsidRDefault="007837D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874" w:rsidRDefault="00D36874" w:rsidP="0068344C">
      <w:pPr>
        <w:spacing w:after="0" w:line="240" w:lineRule="auto"/>
      </w:pPr>
      <w:r>
        <w:separator/>
      </w:r>
    </w:p>
  </w:footnote>
  <w:footnote w:type="continuationSeparator" w:id="0">
    <w:p w:rsidR="00D36874" w:rsidRDefault="00D36874" w:rsidP="00683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98" w:rsidRDefault="00053498">
    <w:pPr>
      <w:pStyle w:val="Kopfzeile"/>
    </w:pPr>
    <w:r>
      <w:rPr>
        <w:noProof/>
        <w:lang w:val="de-DE" w:eastAsia="de-DE"/>
      </w:rPr>
      <w:drawing>
        <wp:inline distT="0" distB="0" distL="0" distR="0" wp14:anchorId="2C26F498" wp14:editId="6D824847">
          <wp:extent cx="5760720" cy="727710"/>
          <wp:effectExtent l="0" t="0" r="0" b="0"/>
          <wp:docPr id="2"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5760720" cy="72771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98" w:rsidRDefault="0005349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06717"/>
    <w:multiLevelType w:val="multilevel"/>
    <w:tmpl w:val="6588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C14C2"/>
    <w:multiLevelType w:val="hybridMultilevel"/>
    <w:tmpl w:val="322E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002DCA"/>
    <w:multiLevelType w:val="hybridMultilevel"/>
    <w:tmpl w:val="FF227A20"/>
    <w:lvl w:ilvl="0" w:tplc="93E2C51A">
      <w:start w:val="1"/>
      <w:numFmt w:val="bullet"/>
      <w:lvlText w:val="•"/>
      <w:lvlJc w:val="left"/>
      <w:pPr>
        <w:tabs>
          <w:tab w:val="num" w:pos="720"/>
        </w:tabs>
        <w:ind w:left="720" w:hanging="360"/>
      </w:pPr>
      <w:rPr>
        <w:rFonts w:ascii="Arial" w:hAnsi="Arial" w:hint="default"/>
      </w:rPr>
    </w:lvl>
    <w:lvl w:ilvl="1" w:tplc="1CD44598">
      <w:start w:val="1"/>
      <w:numFmt w:val="bullet"/>
      <w:lvlText w:val="•"/>
      <w:lvlJc w:val="left"/>
      <w:pPr>
        <w:tabs>
          <w:tab w:val="num" w:pos="1440"/>
        </w:tabs>
        <w:ind w:left="1440" w:hanging="360"/>
      </w:pPr>
      <w:rPr>
        <w:rFonts w:ascii="Arial" w:hAnsi="Arial" w:hint="default"/>
      </w:rPr>
    </w:lvl>
    <w:lvl w:ilvl="2" w:tplc="5EAEB7FC" w:tentative="1">
      <w:start w:val="1"/>
      <w:numFmt w:val="bullet"/>
      <w:lvlText w:val="•"/>
      <w:lvlJc w:val="left"/>
      <w:pPr>
        <w:tabs>
          <w:tab w:val="num" w:pos="2160"/>
        </w:tabs>
        <w:ind w:left="2160" w:hanging="360"/>
      </w:pPr>
      <w:rPr>
        <w:rFonts w:ascii="Arial" w:hAnsi="Arial" w:hint="default"/>
      </w:rPr>
    </w:lvl>
    <w:lvl w:ilvl="3" w:tplc="D5B4EE2A" w:tentative="1">
      <w:start w:val="1"/>
      <w:numFmt w:val="bullet"/>
      <w:lvlText w:val="•"/>
      <w:lvlJc w:val="left"/>
      <w:pPr>
        <w:tabs>
          <w:tab w:val="num" w:pos="2880"/>
        </w:tabs>
        <w:ind w:left="2880" w:hanging="360"/>
      </w:pPr>
      <w:rPr>
        <w:rFonts w:ascii="Arial" w:hAnsi="Arial" w:hint="default"/>
      </w:rPr>
    </w:lvl>
    <w:lvl w:ilvl="4" w:tplc="4B0A31DE" w:tentative="1">
      <w:start w:val="1"/>
      <w:numFmt w:val="bullet"/>
      <w:lvlText w:val="•"/>
      <w:lvlJc w:val="left"/>
      <w:pPr>
        <w:tabs>
          <w:tab w:val="num" w:pos="3600"/>
        </w:tabs>
        <w:ind w:left="3600" w:hanging="360"/>
      </w:pPr>
      <w:rPr>
        <w:rFonts w:ascii="Arial" w:hAnsi="Arial" w:hint="default"/>
      </w:rPr>
    </w:lvl>
    <w:lvl w:ilvl="5" w:tplc="62C2232A" w:tentative="1">
      <w:start w:val="1"/>
      <w:numFmt w:val="bullet"/>
      <w:lvlText w:val="•"/>
      <w:lvlJc w:val="left"/>
      <w:pPr>
        <w:tabs>
          <w:tab w:val="num" w:pos="4320"/>
        </w:tabs>
        <w:ind w:left="4320" w:hanging="360"/>
      </w:pPr>
      <w:rPr>
        <w:rFonts w:ascii="Arial" w:hAnsi="Arial" w:hint="default"/>
      </w:rPr>
    </w:lvl>
    <w:lvl w:ilvl="6" w:tplc="735C11E2" w:tentative="1">
      <w:start w:val="1"/>
      <w:numFmt w:val="bullet"/>
      <w:lvlText w:val="•"/>
      <w:lvlJc w:val="left"/>
      <w:pPr>
        <w:tabs>
          <w:tab w:val="num" w:pos="5040"/>
        </w:tabs>
        <w:ind w:left="5040" w:hanging="360"/>
      </w:pPr>
      <w:rPr>
        <w:rFonts w:ascii="Arial" w:hAnsi="Arial" w:hint="default"/>
      </w:rPr>
    </w:lvl>
    <w:lvl w:ilvl="7" w:tplc="5A341A86" w:tentative="1">
      <w:start w:val="1"/>
      <w:numFmt w:val="bullet"/>
      <w:lvlText w:val="•"/>
      <w:lvlJc w:val="left"/>
      <w:pPr>
        <w:tabs>
          <w:tab w:val="num" w:pos="5760"/>
        </w:tabs>
        <w:ind w:left="5760" w:hanging="360"/>
      </w:pPr>
      <w:rPr>
        <w:rFonts w:ascii="Arial" w:hAnsi="Arial" w:hint="default"/>
      </w:rPr>
    </w:lvl>
    <w:lvl w:ilvl="8" w:tplc="077EA61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EA62F5"/>
    <w:multiLevelType w:val="multilevel"/>
    <w:tmpl w:val="4E9C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E028C"/>
    <w:multiLevelType w:val="hybridMultilevel"/>
    <w:tmpl w:val="9E7E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690AB2"/>
    <w:multiLevelType w:val="multilevel"/>
    <w:tmpl w:val="E46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8A7A95"/>
    <w:multiLevelType w:val="hybridMultilevel"/>
    <w:tmpl w:val="08CA9D90"/>
    <w:lvl w:ilvl="0" w:tplc="1506D730">
      <w:start w:val="1"/>
      <w:numFmt w:val="bullet"/>
      <w:lvlText w:val="•"/>
      <w:lvlJc w:val="left"/>
      <w:pPr>
        <w:tabs>
          <w:tab w:val="num" w:pos="1068"/>
        </w:tabs>
        <w:ind w:left="1068" w:hanging="360"/>
      </w:pPr>
      <w:rPr>
        <w:rFonts w:ascii="Arial" w:hAnsi="Arial" w:hint="default"/>
      </w:rPr>
    </w:lvl>
    <w:lvl w:ilvl="1" w:tplc="CEF8A8BA">
      <w:start w:val="251"/>
      <w:numFmt w:val="bullet"/>
      <w:lvlText w:val="–"/>
      <w:lvlJc w:val="left"/>
      <w:pPr>
        <w:tabs>
          <w:tab w:val="num" w:pos="1788"/>
        </w:tabs>
        <w:ind w:left="1788" w:hanging="360"/>
      </w:pPr>
      <w:rPr>
        <w:rFonts w:ascii="Arial" w:hAnsi="Arial" w:hint="default"/>
      </w:rPr>
    </w:lvl>
    <w:lvl w:ilvl="2" w:tplc="7D8CDC4A" w:tentative="1">
      <w:start w:val="1"/>
      <w:numFmt w:val="bullet"/>
      <w:lvlText w:val="•"/>
      <w:lvlJc w:val="left"/>
      <w:pPr>
        <w:tabs>
          <w:tab w:val="num" w:pos="2508"/>
        </w:tabs>
        <w:ind w:left="2508" w:hanging="360"/>
      </w:pPr>
      <w:rPr>
        <w:rFonts w:ascii="Arial" w:hAnsi="Arial" w:hint="default"/>
      </w:rPr>
    </w:lvl>
    <w:lvl w:ilvl="3" w:tplc="C576C2DE" w:tentative="1">
      <w:start w:val="1"/>
      <w:numFmt w:val="bullet"/>
      <w:lvlText w:val="•"/>
      <w:lvlJc w:val="left"/>
      <w:pPr>
        <w:tabs>
          <w:tab w:val="num" w:pos="3228"/>
        </w:tabs>
        <w:ind w:left="3228" w:hanging="360"/>
      </w:pPr>
      <w:rPr>
        <w:rFonts w:ascii="Arial" w:hAnsi="Arial" w:hint="default"/>
      </w:rPr>
    </w:lvl>
    <w:lvl w:ilvl="4" w:tplc="72440F82" w:tentative="1">
      <w:start w:val="1"/>
      <w:numFmt w:val="bullet"/>
      <w:lvlText w:val="•"/>
      <w:lvlJc w:val="left"/>
      <w:pPr>
        <w:tabs>
          <w:tab w:val="num" w:pos="3948"/>
        </w:tabs>
        <w:ind w:left="3948" w:hanging="360"/>
      </w:pPr>
      <w:rPr>
        <w:rFonts w:ascii="Arial" w:hAnsi="Arial" w:hint="default"/>
      </w:rPr>
    </w:lvl>
    <w:lvl w:ilvl="5" w:tplc="700271E2" w:tentative="1">
      <w:start w:val="1"/>
      <w:numFmt w:val="bullet"/>
      <w:lvlText w:val="•"/>
      <w:lvlJc w:val="left"/>
      <w:pPr>
        <w:tabs>
          <w:tab w:val="num" w:pos="4668"/>
        </w:tabs>
        <w:ind w:left="4668" w:hanging="360"/>
      </w:pPr>
      <w:rPr>
        <w:rFonts w:ascii="Arial" w:hAnsi="Arial" w:hint="default"/>
      </w:rPr>
    </w:lvl>
    <w:lvl w:ilvl="6" w:tplc="629ED46C" w:tentative="1">
      <w:start w:val="1"/>
      <w:numFmt w:val="bullet"/>
      <w:lvlText w:val="•"/>
      <w:lvlJc w:val="left"/>
      <w:pPr>
        <w:tabs>
          <w:tab w:val="num" w:pos="5388"/>
        </w:tabs>
        <w:ind w:left="5388" w:hanging="360"/>
      </w:pPr>
      <w:rPr>
        <w:rFonts w:ascii="Arial" w:hAnsi="Arial" w:hint="default"/>
      </w:rPr>
    </w:lvl>
    <w:lvl w:ilvl="7" w:tplc="B7DC2954" w:tentative="1">
      <w:start w:val="1"/>
      <w:numFmt w:val="bullet"/>
      <w:lvlText w:val="•"/>
      <w:lvlJc w:val="left"/>
      <w:pPr>
        <w:tabs>
          <w:tab w:val="num" w:pos="6108"/>
        </w:tabs>
        <w:ind w:left="6108" w:hanging="360"/>
      </w:pPr>
      <w:rPr>
        <w:rFonts w:ascii="Arial" w:hAnsi="Arial" w:hint="default"/>
      </w:rPr>
    </w:lvl>
    <w:lvl w:ilvl="8" w:tplc="E160CA60" w:tentative="1">
      <w:start w:val="1"/>
      <w:numFmt w:val="bullet"/>
      <w:lvlText w:val="•"/>
      <w:lvlJc w:val="left"/>
      <w:pPr>
        <w:tabs>
          <w:tab w:val="num" w:pos="6828"/>
        </w:tabs>
        <w:ind w:left="6828" w:hanging="360"/>
      </w:pPr>
      <w:rPr>
        <w:rFonts w:ascii="Arial" w:hAnsi="Arial" w:hint="default"/>
      </w:rPr>
    </w:lvl>
  </w:abstractNum>
  <w:num w:numId="1">
    <w:abstractNumId w:val="0"/>
  </w:num>
  <w:num w:numId="2">
    <w:abstractNumId w:val="5"/>
  </w:num>
  <w:num w:numId="3">
    <w:abstractNumId w:val="3"/>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1B"/>
    <w:rsid w:val="00053498"/>
    <w:rsid w:val="000C399E"/>
    <w:rsid w:val="001441F6"/>
    <w:rsid w:val="00192F4D"/>
    <w:rsid w:val="001A78D7"/>
    <w:rsid w:val="0035409A"/>
    <w:rsid w:val="004616F2"/>
    <w:rsid w:val="004A22BE"/>
    <w:rsid w:val="004B5100"/>
    <w:rsid w:val="005214CA"/>
    <w:rsid w:val="0055715D"/>
    <w:rsid w:val="005A424B"/>
    <w:rsid w:val="0064498F"/>
    <w:rsid w:val="0065293E"/>
    <w:rsid w:val="00681F1B"/>
    <w:rsid w:val="0068344C"/>
    <w:rsid w:val="006B3C28"/>
    <w:rsid w:val="006D0972"/>
    <w:rsid w:val="006D7D82"/>
    <w:rsid w:val="007837D8"/>
    <w:rsid w:val="007E5823"/>
    <w:rsid w:val="0090558E"/>
    <w:rsid w:val="009F5175"/>
    <w:rsid w:val="00AC0855"/>
    <w:rsid w:val="00B2324C"/>
    <w:rsid w:val="00B918F7"/>
    <w:rsid w:val="00BB03DD"/>
    <w:rsid w:val="00C540A4"/>
    <w:rsid w:val="00C634FE"/>
    <w:rsid w:val="00C80566"/>
    <w:rsid w:val="00D0207D"/>
    <w:rsid w:val="00D05A21"/>
    <w:rsid w:val="00D36874"/>
    <w:rsid w:val="00E310C2"/>
    <w:rsid w:val="00E477CF"/>
    <w:rsid w:val="00F921CF"/>
    <w:rsid w:val="00FE67E2"/>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E752E8-1BF9-4E8D-B8C7-AA621A3D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F51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F51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link w:val="berschrift4Zchn"/>
    <w:uiPriority w:val="9"/>
    <w:qFormat/>
    <w:rsid w:val="00681F1B"/>
    <w:pPr>
      <w:spacing w:before="150" w:after="150" w:line="240" w:lineRule="auto"/>
      <w:outlineLvl w:val="3"/>
    </w:pPr>
    <w:rPr>
      <w:rFonts w:ascii="Helvetica" w:eastAsia="Times New Roman" w:hAnsi="Helvetica" w:cs="Times New Roman"/>
      <w:sz w:val="27"/>
      <w:szCs w:val="27"/>
      <w:lang w:eastAsia="nl-B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681F1B"/>
    <w:rPr>
      <w:rFonts w:ascii="Helvetica" w:eastAsia="Times New Roman" w:hAnsi="Helvetica" w:cs="Times New Roman"/>
      <w:sz w:val="27"/>
      <w:szCs w:val="27"/>
      <w:lang w:eastAsia="nl-BE"/>
    </w:rPr>
  </w:style>
  <w:style w:type="character" w:styleId="Hyperlink">
    <w:name w:val="Hyperlink"/>
    <w:basedOn w:val="Absatz-Standardschriftart"/>
    <w:uiPriority w:val="99"/>
    <w:unhideWhenUsed/>
    <w:rsid w:val="00681F1B"/>
    <w:rPr>
      <w:strike w:val="0"/>
      <w:dstrike w:val="0"/>
      <w:color w:val="39B4C8"/>
      <w:u w:val="none"/>
      <w:effect w:val="none"/>
      <w:shd w:val="clear" w:color="auto" w:fill="auto"/>
    </w:rPr>
  </w:style>
  <w:style w:type="character" w:styleId="Fett">
    <w:name w:val="Strong"/>
    <w:basedOn w:val="Absatz-Standardschriftart"/>
    <w:uiPriority w:val="22"/>
    <w:qFormat/>
    <w:rsid w:val="00681F1B"/>
    <w:rPr>
      <w:b/>
      <w:bCs/>
    </w:rPr>
  </w:style>
  <w:style w:type="paragraph" w:styleId="StandardWeb">
    <w:name w:val="Normal (Web)"/>
    <w:basedOn w:val="Standard"/>
    <w:uiPriority w:val="99"/>
    <w:semiHidden/>
    <w:unhideWhenUsed/>
    <w:rsid w:val="00681F1B"/>
    <w:pPr>
      <w:spacing w:after="150" w:line="240" w:lineRule="auto"/>
    </w:pPr>
    <w:rPr>
      <w:rFonts w:ascii="Times New Roman" w:eastAsia="Times New Roman" w:hAnsi="Times New Roman" w:cs="Times New Roman"/>
      <w:sz w:val="24"/>
      <w:szCs w:val="24"/>
      <w:lang w:eastAsia="nl-BE"/>
    </w:rPr>
  </w:style>
  <w:style w:type="character" w:styleId="Hervorhebung">
    <w:name w:val="Emphasis"/>
    <w:basedOn w:val="Absatz-Standardschriftart"/>
    <w:uiPriority w:val="20"/>
    <w:qFormat/>
    <w:rsid w:val="00681F1B"/>
    <w:rPr>
      <w:i/>
      <w:iCs/>
    </w:rPr>
  </w:style>
  <w:style w:type="paragraph" w:styleId="Titel">
    <w:name w:val="Title"/>
    <w:basedOn w:val="Standard"/>
    <w:next w:val="Standard"/>
    <w:link w:val="TitelZchn"/>
    <w:uiPriority w:val="10"/>
    <w:qFormat/>
    <w:rsid w:val="009F51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F5175"/>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9F5175"/>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9F5175"/>
    <w:rPr>
      <w:rFonts w:asciiTheme="majorHAnsi" w:eastAsiaTheme="majorEastAsia" w:hAnsiTheme="majorHAnsi" w:cstheme="majorBidi"/>
      <w:b/>
      <w:bCs/>
      <w:color w:val="4F81BD" w:themeColor="accent1"/>
      <w:sz w:val="26"/>
      <w:szCs w:val="26"/>
    </w:rPr>
  </w:style>
  <w:style w:type="paragraph" w:customStyle="1" w:styleId="Default">
    <w:name w:val="Default"/>
    <w:rsid w:val="004A22BE"/>
    <w:pPr>
      <w:autoSpaceDE w:val="0"/>
      <w:autoSpaceDN w:val="0"/>
      <w:adjustRightInd w:val="0"/>
      <w:spacing w:after="0" w:line="240" w:lineRule="auto"/>
    </w:pPr>
    <w:rPr>
      <w:rFonts w:ascii="DINPro-Medium" w:hAnsi="DINPro-Medium" w:cs="DINPro-Medium"/>
      <w:color w:val="000000"/>
      <w:sz w:val="24"/>
      <w:szCs w:val="24"/>
    </w:rPr>
  </w:style>
  <w:style w:type="paragraph" w:customStyle="1" w:styleId="Pa1">
    <w:name w:val="Pa1"/>
    <w:basedOn w:val="Default"/>
    <w:next w:val="Default"/>
    <w:uiPriority w:val="99"/>
    <w:rsid w:val="004A22BE"/>
    <w:pPr>
      <w:spacing w:line="241" w:lineRule="atLeast"/>
    </w:pPr>
    <w:rPr>
      <w:rFonts w:cstheme="minorBidi"/>
      <w:color w:val="auto"/>
    </w:rPr>
  </w:style>
  <w:style w:type="character" w:customStyle="1" w:styleId="A5">
    <w:name w:val="A5"/>
    <w:uiPriority w:val="99"/>
    <w:rsid w:val="004A22BE"/>
    <w:rPr>
      <w:rFonts w:cs="DINPro-Medium"/>
      <w:color w:val="000000"/>
      <w:sz w:val="43"/>
      <w:szCs w:val="43"/>
    </w:rPr>
  </w:style>
  <w:style w:type="character" w:customStyle="1" w:styleId="A6">
    <w:name w:val="A6"/>
    <w:uiPriority w:val="99"/>
    <w:rsid w:val="004A22BE"/>
    <w:rPr>
      <w:rFonts w:cs="DINPro-Medium"/>
      <w:color w:val="000000"/>
      <w:sz w:val="42"/>
      <w:szCs w:val="42"/>
    </w:rPr>
  </w:style>
  <w:style w:type="paragraph" w:styleId="Listenabsatz">
    <w:name w:val="List Paragraph"/>
    <w:basedOn w:val="Standard"/>
    <w:uiPriority w:val="34"/>
    <w:qFormat/>
    <w:rsid w:val="00B2324C"/>
    <w:pPr>
      <w:ind w:left="720"/>
      <w:contextualSpacing/>
    </w:pPr>
  </w:style>
  <w:style w:type="paragraph" w:styleId="Kopfzeile">
    <w:name w:val="header"/>
    <w:basedOn w:val="Standard"/>
    <w:link w:val="KopfzeileZchn"/>
    <w:uiPriority w:val="99"/>
    <w:unhideWhenUsed/>
    <w:rsid w:val="006834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344C"/>
  </w:style>
  <w:style w:type="paragraph" w:styleId="Fuzeile">
    <w:name w:val="footer"/>
    <w:basedOn w:val="Standard"/>
    <w:link w:val="FuzeileZchn"/>
    <w:uiPriority w:val="99"/>
    <w:unhideWhenUsed/>
    <w:rsid w:val="006834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3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604944">
      <w:bodyDiv w:val="1"/>
      <w:marLeft w:val="0"/>
      <w:marRight w:val="0"/>
      <w:marTop w:val="0"/>
      <w:marBottom w:val="0"/>
      <w:divBdr>
        <w:top w:val="none" w:sz="0" w:space="0" w:color="auto"/>
        <w:left w:val="none" w:sz="0" w:space="0" w:color="auto"/>
        <w:bottom w:val="none" w:sz="0" w:space="0" w:color="auto"/>
        <w:right w:val="none" w:sz="0" w:space="0" w:color="auto"/>
      </w:divBdr>
    </w:div>
    <w:div w:id="1549952632">
      <w:bodyDiv w:val="1"/>
      <w:marLeft w:val="0"/>
      <w:marRight w:val="0"/>
      <w:marTop w:val="0"/>
      <w:marBottom w:val="0"/>
      <w:divBdr>
        <w:top w:val="none" w:sz="0" w:space="0" w:color="auto"/>
        <w:left w:val="none" w:sz="0" w:space="0" w:color="auto"/>
        <w:bottom w:val="none" w:sz="0" w:space="0" w:color="auto"/>
        <w:right w:val="none" w:sz="0" w:space="0" w:color="auto"/>
      </w:divBdr>
    </w:div>
    <w:div w:id="1889756837">
      <w:bodyDiv w:val="1"/>
      <w:marLeft w:val="0"/>
      <w:marRight w:val="0"/>
      <w:marTop w:val="0"/>
      <w:marBottom w:val="0"/>
      <w:divBdr>
        <w:top w:val="none" w:sz="0" w:space="0" w:color="auto"/>
        <w:left w:val="none" w:sz="0" w:space="0" w:color="auto"/>
        <w:bottom w:val="none" w:sz="0" w:space="0" w:color="auto"/>
        <w:right w:val="none" w:sz="0" w:space="0" w:color="auto"/>
      </w:divBdr>
      <w:divsChild>
        <w:div w:id="920483174">
          <w:marLeft w:val="0"/>
          <w:marRight w:val="0"/>
          <w:marTop w:val="0"/>
          <w:marBottom w:val="0"/>
          <w:divBdr>
            <w:top w:val="none" w:sz="0" w:space="0" w:color="auto"/>
            <w:left w:val="none" w:sz="0" w:space="0" w:color="auto"/>
            <w:bottom w:val="none" w:sz="0" w:space="0" w:color="auto"/>
            <w:right w:val="none" w:sz="0" w:space="0" w:color="auto"/>
          </w:divBdr>
          <w:divsChild>
            <w:div w:id="979656675">
              <w:marLeft w:val="0"/>
              <w:marRight w:val="0"/>
              <w:marTop w:val="0"/>
              <w:marBottom w:val="0"/>
              <w:divBdr>
                <w:top w:val="none" w:sz="0" w:space="0" w:color="auto"/>
                <w:left w:val="none" w:sz="0" w:space="0" w:color="auto"/>
                <w:bottom w:val="none" w:sz="0" w:space="0" w:color="auto"/>
                <w:right w:val="none" w:sz="0" w:space="0" w:color="auto"/>
              </w:divBdr>
              <w:divsChild>
                <w:div w:id="1422531717">
                  <w:marLeft w:val="-225"/>
                  <w:marRight w:val="-225"/>
                  <w:marTop w:val="0"/>
                  <w:marBottom w:val="0"/>
                  <w:divBdr>
                    <w:top w:val="none" w:sz="0" w:space="0" w:color="auto"/>
                    <w:left w:val="none" w:sz="0" w:space="0" w:color="auto"/>
                    <w:bottom w:val="none" w:sz="0" w:space="0" w:color="auto"/>
                    <w:right w:val="none" w:sz="0" w:space="0" w:color="auto"/>
                  </w:divBdr>
                  <w:divsChild>
                    <w:div w:id="1446585292">
                      <w:marLeft w:val="0"/>
                      <w:marRight w:val="0"/>
                      <w:marTop w:val="0"/>
                      <w:marBottom w:val="0"/>
                      <w:divBdr>
                        <w:top w:val="none" w:sz="0" w:space="0" w:color="auto"/>
                        <w:left w:val="none" w:sz="0" w:space="0" w:color="auto"/>
                        <w:bottom w:val="none" w:sz="0" w:space="0" w:color="auto"/>
                        <w:right w:val="none" w:sz="0" w:space="0" w:color="auto"/>
                      </w:divBdr>
                      <w:divsChild>
                        <w:div w:id="1922062985">
                          <w:marLeft w:val="0"/>
                          <w:marRight w:val="0"/>
                          <w:marTop w:val="0"/>
                          <w:marBottom w:val="0"/>
                          <w:divBdr>
                            <w:top w:val="none" w:sz="0" w:space="0" w:color="auto"/>
                            <w:left w:val="none" w:sz="0" w:space="0" w:color="auto"/>
                            <w:bottom w:val="none" w:sz="0" w:space="0" w:color="auto"/>
                            <w:right w:val="none" w:sz="0" w:space="0" w:color="auto"/>
                          </w:divBdr>
                          <w:divsChild>
                            <w:div w:id="269434163">
                              <w:marLeft w:val="0"/>
                              <w:marRight w:val="0"/>
                              <w:marTop w:val="0"/>
                              <w:marBottom w:val="0"/>
                              <w:divBdr>
                                <w:top w:val="none" w:sz="0" w:space="0" w:color="auto"/>
                                <w:left w:val="none" w:sz="0" w:space="0" w:color="auto"/>
                                <w:bottom w:val="none" w:sz="0" w:space="0" w:color="auto"/>
                                <w:right w:val="none" w:sz="0" w:space="0" w:color="auto"/>
                              </w:divBdr>
                              <w:divsChild>
                                <w:div w:id="885602792">
                                  <w:marLeft w:val="-225"/>
                                  <w:marRight w:val="-225"/>
                                  <w:marTop w:val="0"/>
                                  <w:marBottom w:val="0"/>
                                  <w:divBdr>
                                    <w:top w:val="none" w:sz="0" w:space="0" w:color="auto"/>
                                    <w:left w:val="none" w:sz="0" w:space="0" w:color="auto"/>
                                    <w:bottom w:val="none" w:sz="0" w:space="0" w:color="auto"/>
                                    <w:right w:val="none" w:sz="0" w:space="0" w:color="auto"/>
                                  </w:divBdr>
                                  <w:divsChild>
                                    <w:div w:id="1336497229">
                                      <w:marLeft w:val="0"/>
                                      <w:marRight w:val="0"/>
                                      <w:marTop w:val="0"/>
                                      <w:marBottom w:val="0"/>
                                      <w:divBdr>
                                        <w:top w:val="none" w:sz="0" w:space="0" w:color="auto"/>
                                        <w:left w:val="none" w:sz="0" w:space="0" w:color="auto"/>
                                        <w:bottom w:val="none" w:sz="0" w:space="0" w:color="auto"/>
                                        <w:right w:val="none" w:sz="0" w:space="0" w:color="auto"/>
                                      </w:divBdr>
                                      <w:divsChild>
                                        <w:div w:id="541139592">
                                          <w:marLeft w:val="0"/>
                                          <w:marRight w:val="0"/>
                                          <w:marTop w:val="0"/>
                                          <w:marBottom w:val="0"/>
                                          <w:divBdr>
                                            <w:top w:val="none" w:sz="0" w:space="0" w:color="auto"/>
                                            <w:left w:val="none" w:sz="0" w:space="0" w:color="auto"/>
                                            <w:bottom w:val="none" w:sz="0" w:space="0" w:color="auto"/>
                                            <w:right w:val="none" w:sz="0" w:space="0" w:color="auto"/>
                                          </w:divBdr>
                                          <w:divsChild>
                                            <w:div w:id="2026243400">
                                              <w:marLeft w:val="0"/>
                                              <w:marRight w:val="0"/>
                                              <w:marTop w:val="0"/>
                                              <w:marBottom w:val="0"/>
                                              <w:divBdr>
                                                <w:top w:val="none" w:sz="0" w:space="0" w:color="auto"/>
                                                <w:left w:val="none" w:sz="0" w:space="0" w:color="auto"/>
                                                <w:bottom w:val="none" w:sz="0" w:space="0" w:color="auto"/>
                                                <w:right w:val="none" w:sz="0" w:space="0" w:color="auto"/>
                                              </w:divBdr>
                                              <w:divsChild>
                                                <w:div w:id="9388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826940">
      <w:bodyDiv w:val="1"/>
      <w:marLeft w:val="0"/>
      <w:marRight w:val="0"/>
      <w:marTop w:val="0"/>
      <w:marBottom w:val="0"/>
      <w:divBdr>
        <w:top w:val="none" w:sz="0" w:space="0" w:color="auto"/>
        <w:left w:val="none" w:sz="0" w:space="0" w:color="auto"/>
        <w:bottom w:val="none" w:sz="0" w:space="0" w:color="auto"/>
        <w:right w:val="none" w:sz="0" w:space="0" w:color="auto"/>
      </w:divBdr>
      <w:divsChild>
        <w:div w:id="1391687468">
          <w:marLeft w:val="0"/>
          <w:marRight w:val="0"/>
          <w:marTop w:val="0"/>
          <w:marBottom w:val="0"/>
          <w:divBdr>
            <w:top w:val="none" w:sz="0" w:space="0" w:color="auto"/>
            <w:left w:val="none" w:sz="0" w:space="0" w:color="auto"/>
            <w:bottom w:val="none" w:sz="0" w:space="0" w:color="auto"/>
            <w:right w:val="none" w:sz="0" w:space="0" w:color="auto"/>
          </w:divBdr>
          <w:divsChild>
            <w:div w:id="177306795">
              <w:marLeft w:val="0"/>
              <w:marRight w:val="0"/>
              <w:marTop w:val="0"/>
              <w:marBottom w:val="0"/>
              <w:divBdr>
                <w:top w:val="none" w:sz="0" w:space="0" w:color="auto"/>
                <w:left w:val="none" w:sz="0" w:space="0" w:color="auto"/>
                <w:bottom w:val="none" w:sz="0" w:space="0" w:color="auto"/>
                <w:right w:val="none" w:sz="0" w:space="0" w:color="auto"/>
              </w:divBdr>
              <w:divsChild>
                <w:div w:id="1111163411">
                  <w:marLeft w:val="-225"/>
                  <w:marRight w:val="-225"/>
                  <w:marTop w:val="0"/>
                  <w:marBottom w:val="0"/>
                  <w:divBdr>
                    <w:top w:val="none" w:sz="0" w:space="0" w:color="auto"/>
                    <w:left w:val="none" w:sz="0" w:space="0" w:color="auto"/>
                    <w:bottom w:val="none" w:sz="0" w:space="0" w:color="auto"/>
                    <w:right w:val="none" w:sz="0" w:space="0" w:color="auto"/>
                  </w:divBdr>
                  <w:divsChild>
                    <w:div w:id="358360">
                      <w:marLeft w:val="0"/>
                      <w:marRight w:val="0"/>
                      <w:marTop w:val="0"/>
                      <w:marBottom w:val="0"/>
                      <w:divBdr>
                        <w:top w:val="none" w:sz="0" w:space="0" w:color="auto"/>
                        <w:left w:val="none" w:sz="0" w:space="0" w:color="auto"/>
                        <w:bottom w:val="none" w:sz="0" w:space="0" w:color="auto"/>
                        <w:right w:val="none" w:sz="0" w:space="0" w:color="auto"/>
                      </w:divBdr>
                      <w:divsChild>
                        <w:div w:id="809709898">
                          <w:marLeft w:val="0"/>
                          <w:marRight w:val="0"/>
                          <w:marTop w:val="0"/>
                          <w:marBottom w:val="0"/>
                          <w:divBdr>
                            <w:top w:val="none" w:sz="0" w:space="0" w:color="auto"/>
                            <w:left w:val="none" w:sz="0" w:space="0" w:color="auto"/>
                            <w:bottom w:val="none" w:sz="0" w:space="0" w:color="auto"/>
                            <w:right w:val="none" w:sz="0" w:space="0" w:color="auto"/>
                          </w:divBdr>
                          <w:divsChild>
                            <w:div w:id="271593800">
                              <w:marLeft w:val="0"/>
                              <w:marRight w:val="0"/>
                              <w:marTop w:val="0"/>
                              <w:marBottom w:val="0"/>
                              <w:divBdr>
                                <w:top w:val="none" w:sz="0" w:space="0" w:color="auto"/>
                                <w:left w:val="none" w:sz="0" w:space="0" w:color="auto"/>
                                <w:bottom w:val="none" w:sz="0" w:space="0" w:color="auto"/>
                                <w:right w:val="none" w:sz="0" w:space="0" w:color="auto"/>
                              </w:divBdr>
                              <w:divsChild>
                                <w:div w:id="1490055293">
                                  <w:marLeft w:val="-225"/>
                                  <w:marRight w:val="-225"/>
                                  <w:marTop w:val="0"/>
                                  <w:marBottom w:val="0"/>
                                  <w:divBdr>
                                    <w:top w:val="none" w:sz="0" w:space="0" w:color="auto"/>
                                    <w:left w:val="none" w:sz="0" w:space="0" w:color="auto"/>
                                    <w:bottom w:val="none" w:sz="0" w:space="0" w:color="auto"/>
                                    <w:right w:val="none" w:sz="0" w:space="0" w:color="auto"/>
                                  </w:divBdr>
                                  <w:divsChild>
                                    <w:div w:id="1842308292">
                                      <w:marLeft w:val="0"/>
                                      <w:marRight w:val="0"/>
                                      <w:marTop w:val="0"/>
                                      <w:marBottom w:val="0"/>
                                      <w:divBdr>
                                        <w:top w:val="none" w:sz="0" w:space="0" w:color="auto"/>
                                        <w:left w:val="none" w:sz="0" w:space="0" w:color="auto"/>
                                        <w:bottom w:val="none" w:sz="0" w:space="0" w:color="auto"/>
                                        <w:right w:val="none" w:sz="0" w:space="0" w:color="auto"/>
                                      </w:divBdr>
                                      <w:divsChild>
                                        <w:div w:id="928001313">
                                          <w:marLeft w:val="0"/>
                                          <w:marRight w:val="0"/>
                                          <w:marTop w:val="0"/>
                                          <w:marBottom w:val="0"/>
                                          <w:divBdr>
                                            <w:top w:val="none" w:sz="0" w:space="0" w:color="auto"/>
                                            <w:left w:val="none" w:sz="0" w:space="0" w:color="auto"/>
                                            <w:bottom w:val="none" w:sz="0" w:space="0" w:color="auto"/>
                                            <w:right w:val="none" w:sz="0" w:space="0" w:color="auto"/>
                                          </w:divBdr>
                                          <w:divsChild>
                                            <w:div w:id="1697999234">
                                              <w:marLeft w:val="0"/>
                                              <w:marRight w:val="0"/>
                                              <w:marTop w:val="0"/>
                                              <w:marBottom w:val="0"/>
                                              <w:divBdr>
                                                <w:top w:val="none" w:sz="0" w:space="0" w:color="auto"/>
                                                <w:left w:val="none" w:sz="0" w:space="0" w:color="auto"/>
                                                <w:bottom w:val="none" w:sz="0" w:space="0" w:color="auto"/>
                                                <w:right w:val="none" w:sz="0" w:space="0" w:color="auto"/>
                                              </w:divBdr>
                                              <w:divsChild>
                                                <w:div w:id="12042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23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bcc68411-ae40-483d-bb2c-2870ac712b91" xsi:nil="true"/>
  </documentManagement>
</p:properties>
</file>

<file path=customXml/itemProps1.xml><?xml version="1.0" encoding="utf-8"?>
<ds:datastoreItem xmlns:ds="http://schemas.openxmlformats.org/officeDocument/2006/customXml" ds:itemID="{72D65AB1-B7DC-4A81-85A7-EEEEB8039E7D}"/>
</file>

<file path=customXml/itemProps2.xml><?xml version="1.0" encoding="utf-8"?>
<ds:datastoreItem xmlns:ds="http://schemas.openxmlformats.org/officeDocument/2006/customXml" ds:itemID="{BDC8D051-7C1D-4D1A-87F5-D93F0120F862}"/>
</file>

<file path=customXml/itemProps3.xml><?xml version="1.0" encoding="utf-8"?>
<ds:datastoreItem xmlns:ds="http://schemas.openxmlformats.org/officeDocument/2006/customXml" ds:itemID="{8EC933BE-8384-4E09-88BF-FABD2D169CB2}"/>
</file>

<file path=customXml/itemProps4.xml><?xml version="1.0" encoding="utf-8"?>
<ds:datastoreItem xmlns:ds="http://schemas.openxmlformats.org/officeDocument/2006/customXml" ds:itemID="{3AF1F8D7-B535-4049-978E-B299433B29AA}"/>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4751</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EUA</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Gaebel</dc:creator>
  <cp:keywords/>
  <dc:description/>
  <cp:lastModifiedBy>Nina Salden</cp:lastModifiedBy>
  <cp:revision>5</cp:revision>
  <dcterms:created xsi:type="dcterms:W3CDTF">2016-01-07T10:57:00Z</dcterms:created>
  <dcterms:modified xsi:type="dcterms:W3CDTF">2016-01-08T14:38:00Z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