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553" w:rsidRPr="005C3151" w:rsidRDefault="007C46DE" w:rsidP="00A14553">
      <w:pPr>
        <w:rPr>
          <w:rFonts w:asciiTheme="minorHAnsi" w:hAnsiTheme="minorHAnsi" w:cstheme="minorHAnsi"/>
          <w:b/>
          <w:sz w:val="28"/>
          <w:szCs w:val="28"/>
          <w:lang w:val="en-GB"/>
        </w:rPr>
      </w:pPr>
      <w:r w:rsidRPr="005C3151">
        <w:rPr>
          <w:rFonts w:asciiTheme="minorHAnsi" w:hAnsiTheme="minorHAnsi" w:cstheme="minorHAnsi"/>
          <w:b/>
          <w:sz w:val="28"/>
          <w:szCs w:val="28"/>
          <w:lang w:val="en-GB"/>
        </w:rPr>
        <w:t>Idea sketch for the establishment of a</w:t>
      </w:r>
      <w:r w:rsidR="00FC4438">
        <w:rPr>
          <w:rFonts w:asciiTheme="minorHAnsi" w:hAnsiTheme="minorHAnsi" w:cstheme="minorHAnsi"/>
          <w:b/>
          <w:sz w:val="28"/>
          <w:szCs w:val="28"/>
          <w:lang w:val="en-GB"/>
        </w:rPr>
        <w:t>n</w:t>
      </w:r>
      <w:r w:rsidRPr="005C3151">
        <w:rPr>
          <w:rFonts w:asciiTheme="minorHAnsi" w:hAnsiTheme="minorHAnsi" w:cstheme="minorHAnsi"/>
          <w:b/>
          <w:sz w:val="28"/>
          <w:szCs w:val="28"/>
          <w:lang w:val="en-GB"/>
        </w:rPr>
        <w:t xml:space="preserve"> European Observatory on Social Dimension of Higher Education (EOSDHE)</w:t>
      </w:r>
    </w:p>
    <w:p w:rsidR="007C46DE" w:rsidRPr="005C3151" w:rsidRDefault="007C46DE"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Dominic Orr, EUROSTUDENT at HIS-Institute for Research on Higher Education</w:t>
      </w:r>
    </w:p>
    <w:p w:rsidR="007C46DE" w:rsidRPr="005C3151" w:rsidRDefault="005C3151"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21.02.2011</w:t>
      </w:r>
    </w:p>
    <w:p w:rsidR="005C3151" w:rsidRPr="005C3151" w:rsidRDefault="005C3151" w:rsidP="00A14553">
      <w:pPr>
        <w:rPr>
          <w:rFonts w:asciiTheme="minorHAnsi" w:hAnsiTheme="minorHAnsi" w:cstheme="minorHAnsi"/>
          <w:sz w:val="22"/>
          <w:szCs w:val="22"/>
          <w:lang w:val="en-GB"/>
        </w:rPr>
      </w:pPr>
    </w:p>
    <w:p w:rsidR="00A14553" w:rsidRPr="005C3151" w:rsidRDefault="005C3151" w:rsidP="005C3151">
      <w:pPr>
        <w:pStyle w:val="Listenabsatz"/>
        <w:numPr>
          <w:ilvl w:val="0"/>
          <w:numId w:val="8"/>
        </w:numPr>
        <w:rPr>
          <w:rFonts w:asciiTheme="minorHAnsi" w:hAnsiTheme="minorHAnsi" w:cstheme="minorHAnsi"/>
          <w:b/>
          <w:sz w:val="28"/>
          <w:szCs w:val="28"/>
          <w:lang w:val="en-GB"/>
        </w:rPr>
      </w:pPr>
      <w:r w:rsidRPr="005C3151">
        <w:rPr>
          <w:rFonts w:asciiTheme="minorHAnsi" w:hAnsiTheme="minorHAnsi" w:cstheme="minorHAnsi"/>
          <w:b/>
          <w:sz w:val="28"/>
          <w:szCs w:val="28"/>
          <w:lang w:val="en-GB"/>
        </w:rPr>
        <w:t>Project rationale</w:t>
      </w:r>
    </w:p>
    <w:p w:rsidR="002A6D7B" w:rsidRDefault="002A6D7B" w:rsidP="005C3151">
      <w:pPr>
        <w:rPr>
          <w:rFonts w:asciiTheme="minorHAnsi" w:hAnsiTheme="minorHAnsi" w:cstheme="minorHAnsi"/>
          <w:sz w:val="22"/>
          <w:szCs w:val="22"/>
          <w:lang w:val="en-GB"/>
        </w:rPr>
      </w:pPr>
    </w:p>
    <w:p w:rsidR="005C3151" w:rsidRDefault="005C3151" w:rsidP="005C3151">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Improving the social dimension of higher education entails focusing on the real needs and the personal circumstances of certain student groups, since these often constitute barrier to entry, participation and successful completion of higher education. Both the </w:t>
      </w:r>
      <w:r w:rsidR="00FC4438">
        <w:rPr>
          <w:rFonts w:asciiTheme="minorHAnsi" w:hAnsiTheme="minorHAnsi" w:cstheme="minorHAnsi"/>
          <w:sz w:val="22"/>
          <w:szCs w:val="22"/>
          <w:lang w:val="en-GB"/>
        </w:rPr>
        <w:t xml:space="preserve">recent </w:t>
      </w:r>
      <w:r w:rsidRPr="005C3151">
        <w:rPr>
          <w:rFonts w:asciiTheme="minorHAnsi" w:hAnsiTheme="minorHAnsi" w:cstheme="minorHAnsi"/>
          <w:sz w:val="22"/>
          <w:szCs w:val="22"/>
          <w:lang w:val="en-GB"/>
        </w:rPr>
        <w:t>Bologna communiqué from Leuven and the EU Council Conclusions on the Social Dimension of Education and Training agree on this. The EU Council invites member states – with regard to higher education – to undertake the following actions:</w:t>
      </w:r>
    </w:p>
    <w:p w:rsidR="00FC4438" w:rsidRPr="005C3151" w:rsidRDefault="00FC4438" w:rsidP="005C3151">
      <w:pPr>
        <w:rPr>
          <w:rFonts w:asciiTheme="minorHAnsi" w:hAnsiTheme="minorHAnsi" w:cstheme="minorHAnsi"/>
          <w:sz w:val="22"/>
          <w:szCs w:val="22"/>
          <w:lang w:val="en-GB"/>
        </w:rPr>
      </w:pPr>
    </w:p>
    <w:p w:rsidR="005C3151" w:rsidRPr="005C3151" w:rsidRDefault="005C3151" w:rsidP="005C3151">
      <w:pPr>
        <w:pStyle w:val="Listenabsatz"/>
        <w:numPr>
          <w:ilvl w:val="0"/>
          <w:numId w:val="9"/>
        </w:numPr>
        <w:rPr>
          <w:rFonts w:asciiTheme="minorHAnsi" w:hAnsiTheme="minorHAnsi" w:cstheme="minorHAnsi"/>
          <w:sz w:val="22"/>
          <w:szCs w:val="22"/>
          <w:lang w:val="en-GB"/>
        </w:rPr>
      </w:pPr>
      <w:r>
        <w:rPr>
          <w:rFonts w:asciiTheme="minorHAnsi" w:hAnsiTheme="minorHAnsi" w:cstheme="minorHAnsi"/>
          <w:sz w:val="22"/>
          <w:szCs w:val="22"/>
          <w:lang w:val="en-GB"/>
        </w:rPr>
        <w:t>“</w:t>
      </w:r>
      <w:r w:rsidRPr="005C3151">
        <w:rPr>
          <w:rFonts w:asciiTheme="minorHAnsi" w:hAnsiTheme="minorHAnsi" w:cstheme="minorHAnsi"/>
          <w:sz w:val="22"/>
          <w:szCs w:val="22"/>
          <w:lang w:val="en-GB"/>
        </w:rPr>
        <w:t>Promote widened access, for example by strengthening financial support schemes for students and through flexible and diversified learning paths.</w:t>
      </w:r>
    </w:p>
    <w:p w:rsidR="005C3151" w:rsidRPr="005C3151" w:rsidRDefault="005C3151" w:rsidP="005C3151">
      <w:pPr>
        <w:pStyle w:val="Listenabsatz"/>
        <w:numPr>
          <w:ilvl w:val="0"/>
          <w:numId w:val="9"/>
        </w:numPr>
        <w:rPr>
          <w:rFonts w:asciiTheme="minorHAnsi" w:hAnsiTheme="minorHAnsi" w:cstheme="minorHAnsi"/>
          <w:sz w:val="22"/>
          <w:szCs w:val="22"/>
          <w:lang w:val="en-GB"/>
        </w:rPr>
      </w:pPr>
      <w:r w:rsidRPr="005C3151">
        <w:rPr>
          <w:rFonts w:asciiTheme="minorHAnsi" w:hAnsiTheme="minorHAnsi" w:cstheme="minorHAnsi"/>
          <w:sz w:val="22"/>
          <w:szCs w:val="22"/>
          <w:lang w:val="en-GB"/>
        </w:rPr>
        <w:t>Develop policies aimed at increasing completion rates of higher education, including through strengthening individualised support, guidance and mentoring for students.</w:t>
      </w:r>
    </w:p>
    <w:p w:rsidR="005C3151" w:rsidRPr="005C3151" w:rsidRDefault="005C3151" w:rsidP="005C3151">
      <w:pPr>
        <w:pStyle w:val="Listenabsatz"/>
        <w:numPr>
          <w:ilvl w:val="0"/>
          <w:numId w:val="9"/>
        </w:numPr>
        <w:rPr>
          <w:rFonts w:asciiTheme="minorHAnsi" w:hAnsiTheme="minorHAnsi" w:cstheme="minorHAnsi"/>
          <w:sz w:val="22"/>
          <w:szCs w:val="22"/>
          <w:lang w:val="en-GB"/>
        </w:rPr>
      </w:pPr>
      <w:r w:rsidRPr="005C3151">
        <w:rPr>
          <w:rFonts w:asciiTheme="minorHAnsi" w:hAnsiTheme="minorHAnsi" w:cstheme="minorHAnsi"/>
          <w:sz w:val="22"/>
          <w:szCs w:val="22"/>
          <w:lang w:val="en-GB"/>
        </w:rPr>
        <w:t>Continue to eliminate barriers to, expand opportunities for, and improve the quality of, learning mobility, including by providing adequate incentives for the mobility of students from disadvantaged backgrounds.</w:t>
      </w:r>
    </w:p>
    <w:p w:rsidR="005C3151" w:rsidRPr="005C3151" w:rsidRDefault="005C3151" w:rsidP="005C3151">
      <w:pPr>
        <w:pStyle w:val="Listenabsatz"/>
        <w:numPr>
          <w:ilvl w:val="0"/>
          <w:numId w:val="9"/>
        </w:numPr>
        <w:rPr>
          <w:rFonts w:asciiTheme="minorHAnsi" w:hAnsiTheme="minorHAnsi" w:cstheme="minorHAnsi"/>
          <w:sz w:val="22"/>
          <w:szCs w:val="22"/>
          <w:lang w:val="en-GB"/>
        </w:rPr>
      </w:pPr>
      <w:r w:rsidRPr="005C3151">
        <w:rPr>
          <w:rFonts w:asciiTheme="minorHAnsi" w:hAnsiTheme="minorHAnsi" w:cstheme="minorHAnsi"/>
          <w:sz w:val="22"/>
          <w:szCs w:val="22"/>
          <w:lang w:val="en-GB"/>
        </w:rPr>
        <w:t>Promote specific programmes for adult students and other non-traditional learners.</w:t>
      </w:r>
      <w:r>
        <w:rPr>
          <w:rFonts w:asciiTheme="minorHAnsi" w:hAnsiTheme="minorHAnsi" w:cstheme="minorHAnsi"/>
          <w:sz w:val="22"/>
          <w:szCs w:val="22"/>
          <w:lang w:val="en-GB"/>
        </w:rPr>
        <w:t>”</w:t>
      </w:r>
      <w:r w:rsidR="00FC4438" w:rsidRPr="00FC4438">
        <w:rPr>
          <w:rStyle w:val="Funotenzeichen"/>
          <w:rFonts w:asciiTheme="minorHAnsi" w:hAnsiTheme="minorHAnsi" w:cstheme="minorHAnsi"/>
          <w:sz w:val="22"/>
          <w:szCs w:val="22"/>
          <w:lang w:val="en-GB"/>
        </w:rPr>
        <w:t xml:space="preserve"> </w:t>
      </w:r>
      <w:r w:rsidR="00FC4438">
        <w:rPr>
          <w:rStyle w:val="Funotenzeichen"/>
          <w:rFonts w:asciiTheme="minorHAnsi" w:hAnsiTheme="minorHAnsi" w:cstheme="minorHAnsi"/>
          <w:sz w:val="22"/>
          <w:szCs w:val="22"/>
          <w:lang w:val="en-GB"/>
        </w:rPr>
        <w:footnoteReference w:id="1"/>
      </w:r>
    </w:p>
    <w:p w:rsidR="005C3151" w:rsidRDefault="005C3151" w:rsidP="005C3151">
      <w:pPr>
        <w:rPr>
          <w:rFonts w:asciiTheme="minorHAnsi" w:hAnsiTheme="minorHAnsi" w:cstheme="minorHAnsi"/>
          <w:sz w:val="22"/>
          <w:szCs w:val="22"/>
          <w:lang w:val="en-GB"/>
        </w:rPr>
      </w:pPr>
    </w:p>
    <w:p w:rsidR="005C3151" w:rsidRDefault="005C3151" w:rsidP="005C3151">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The Bologna communiqué </w:t>
      </w:r>
      <w:r w:rsidR="00FC4438">
        <w:rPr>
          <w:rFonts w:asciiTheme="minorHAnsi" w:hAnsiTheme="minorHAnsi" w:cstheme="minorHAnsi"/>
          <w:sz w:val="22"/>
          <w:szCs w:val="22"/>
          <w:lang w:val="en-GB"/>
        </w:rPr>
        <w:t xml:space="preserve">from 2009 expresses the expectation that </w:t>
      </w:r>
      <w:r w:rsidRPr="005C3151">
        <w:rPr>
          <w:rFonts w:asciiTheme="minorHAnsi" w:hAnsiTheme="minorHAnsi" w:cstheme="minorHAnsi"/>
          <w:sz w:val="22"/>
          <w:szCs w:val="22"/>
          <w:lang w:val="en-GB"/>
        </w:rPr>
        <w:t xml:space="preserve">Bologna signatory countries to </w:t>
      </w:r>
      <w:r>
        <w:rPr>
          <w:rFonts w:asciiTheme="minorHAnsi" w:hAnsiTheme="minorHAnsi" w:cstheme="minorHAnsi"/>
          <w:sz w:val="22"/>
          <w:szCs w:val="22"/>
          <w:lang w:val="en-GB"/>
        </w:rPr>
        <w:t>“</w:t>
      </w:r>
      <w:r w:rsidRPr="005C3151">
        <w:rPr>
          <w:rFonts w:asciiTheme="minorHAnsi" w:hAnsiTheme="minorHAnsi" w:cstheme="minorHAnsi"/>
          <w:sz w:val="22"/>
          <w:szCs w:val="22"/>
          <w:lang w:val="en-GB"/>
        </w:rPr>
        <w:t>set measurable</w:t>
      </w:r>
      <w:r>
        <w:rPr>
          <w:rFonts w:asciiTheme="minorHAnsi" w:hAnsiTheme="minorHAnsi" w:cstheme="minorHAnsi"/>
          <w:sz w:val="22"/>
          <w:szCs w:val="22"/>
          <w:lang w:val="en-GB"/>
        </w:rPr>
        <w:t xml:space="preserve"> </w:t>
      </w:r>
      <w:r w:rsidRPr="005C3151">
        <w:rPr>
          <w:rFonts w:asciiTheme="minorHAnsi" w:hAnsiTheme="minorHAnsi" w:cstheme="minorHAnsi"/>
          <w:sz w:val="22"/>
          <w:szCs w:val="22"/>
          <w:lang w:val="en-GB"/>
        </w:rPr>
        <w:t>targets for widening overall participation and increasing participation of</w:t>
      </w:r>
      <w:r>
        <w:rPr>
          <w:rFonts w:asciiTheme="minorHAnsi" w:hAnsiTheme="minorHAnsi" w:cstheme="minorHAnsi"/>
          <w:sz w:val="22"/>
          <w:szCs w:val="22"/>
          <w:lang w:val="en-GB"/>
        </w:rPr>
        <w:t xml:space="preserve"> </w:t>
      </w:r>
      <w:r w:rsidRPr="005C3151">
        <w:rPr>
          <w:rFonts w:asciiTheme="minorHAnsi" w:hAnsiTheme="minorHAnsi" w:cstheme="minorHAnsi"/>
          <w:sz w:val="22"/>
          <w:szCs w:val="22"/>
          <w:lang w:val="en-GB"/>
        </w:rPr>
        <w:t>underrepresented groups in higher education, to be reached by the end of the next</w:t>
      </w:r>
      <w:r>
        <w:rPr>
          <w:rFonts w:asciiTheme="minorHAnsi" w:hAnsiTheme="minorHAnsi" w:cstheme="minorHAnsi"/>
          <w:sz w:val="22"/>
          <w:szCs w:val="22"/>
          <w:lang w:val="en-GB"/>
        </w:rPr>
        <w:t xml:space="preserve"> </w:t>
      </w:r>
      <w:r w:rsidRPr="005C3151">
        <w:rPr>
          <w:rFonts w:asciiTheme="minorHAnsi" w:hAnsiTheme="minorHAnsi" w:cstheme="minorHAnsi"/>
          <w:sz w:val="22"/>
          <w:szCs w:val="22"/>
          <w:lang w:val="en-GB"/>
        </w:rPr>
        <w:t>decade</w:t>
      </w:r>
      <w:r>
        <w:rPr>
          <w:rFonts w:asciiTheme="minorHAnsi" w:hAnsiTheme="minorHAnsi" w:cstheme="minorHAnsi"/>
          <w:sz w:val="22"/>
          <w:szCs w:val="22"/>
          <w:lang w:val="en-GB"/>
        </w:rPr>
        <w:t>”.</w:t>
      </w:r>
      <w:r w:rsidR="00FC4438">
        <w:rPr>
          <w:rStyle w:val="Funotenzeichen"/>
          <w:rFonts w:asciiTheme="minorHAnsi" w:hAnsiTheme="minorHAnsi" w:cstheme="minorHAnsi"/>
          <w:sz w:val="22"/>
          <w:szCs w:val="22"/>
          <w:lang w:val="en-GB"/>
        </w:rPr>
        <w:footnoteReference w:id="2"/>
      </w:r>
      <w:r>
        <w:rPr>
          <w:rFonts w:asciiTheme="minorHAnsi" w:hAnsiTheme="minorHAnsi" w:cstheme="minorHAnsi"/>
          <w:sz w:val="22"/>
          <w:szCs w:val="22"/>
          <w:lang w:val="en-GB"/>
        </w:rPr>
        <w:t xml:space="preserve"> In this, actors at European and national levels have found that there are multiple actions and measures which can be taken at different levels of an education system in order to attempt improvements in the social dimension. Thus, it is evident that national context is an important determinant of what actions are taken and at what level –</w:t>
      </w:r>
      <w:r w:rsidR="00FC4438">
        <w:rPr>
          <w:rFonts w:asciiTheme="minorHAnsi" w:hAnsiTheme="minorHAnsi" w:cstheme="minorHAnsi"/>
          <w:sz w:val="22"/>
          <w:szCs w:val="22"/>
          <w:lang w:val="en-GB"/>
        </w:rPr>
        <w:t xml:space="preserve"> </w:t>
      </w:r>
      <w:r>
        <w:rPr>
          <w:rFonts w:asciiTheme="minorHAnsi" w:hAnsiTheme="minorHAnsi" w:cstheme="minorHAnsi"/>
          <w:sz w:val="22"/>
          <w:szCs w:val="22"/>
          <w:lang w:val="en-GB"/>
        </w:rPr>
        <w:t>althoug</w:t>
      </w:r>
      <w:r w:rsidR="00FC4438">
        <w:rPr>
          <w:rFonts w:asciiTheme="minorHAnsi" w:hAnsiTheme="minorHAnsi" w:cstheme="minorHAnsi"/>
          <w:sz w:val="22"/>
          <w:szCs w:val="22"/>
          <w:lang w:val="en-GB"/>
        </w:rPr>
        <w:t>h commonalities do exist.</w:t>
      </w:r>
      <w:r w:rsidR="00FC4438">
        <w:rPr>
          <w:rStyle w:val="Funotenzeichen"/>
          <w:rFonts w:asciiTheme="minorHAnsi" w:hAnsiTheme="minorHAnsi" w:cstheme="minorHAnsi"/>
          <w:sz w:val="22"/>
          <w:szCs w:val="22"/>
          <w:lang w:val="en-GB"/>
        </w:rPr>
        <w:footnoteReference w:id="3"/>
      </w:r>
      <w:r w:rsidR="00FC4438">
        <w:rPr>
          <w:rFonts w:asciiTheme="minorHAnsi" w:hAnsiTheme="minorHAnsi" w:cstheme="minorHAnsi"/>
          <w:sz w:val="22"/>
          <w:szCs w:val="22"/>
          <w:lang w:val="en-GB"/>
        </w:rPr>
        <w:t xml:space="preserve"> In its analysis of strategies and practices coming from efforts to improve the social dimension in European higher education, the Bologna Social Dimension Coordination Group (2007-2009) was able identify country examples of best practice. However, it this working group also concluding that more work was necessary in order to properly assess country strategies and practices in this area. It was this knowledge that led the current Bologna Working Group on the Social Dimension (2009-2012) to propose the establishment of </w:t>
      </w:r>
      <w:r w:rsidR="00FC4438" w:rsidRPr="00FC4438">
        <w:rPr>
          <w:rFonts w:asciiTheme="minorHAnsi" w:hAnsiTheme="minorHAnsi" w:cstheme="minorHAnsi"/>
          <w:sz w:val="22"/>
          <w:szCs w:val="22"/>
          <w:lang w:val="en-GB"/>
        </w:rPr>
        <w:t xml:space="preserve">European Observatory on </w:t>
      </w:r>
      <w:r w:rsidR="00FC4438">
        <w:rPr>
          <w:rFonts w:asciiTheme="minorHAnsi" w:hAnsiTheme="minorHAnsi" w:cstheme="minorHAnsi"/>
          <w:sz w:val="22"/>
          <w:szCs w:val="22"/>
          <w:lang w:val="en-GB"/>
        </w:rPr>
        <w:t xml:space="preserve">the </w:t>
      </w:r>
      <w:r w:rsidR="00FC4438" w:rsidRPr="00FC4438">
        <w:rPr>
          <w:rFonts w:asciiTheme="minorHAnsi" w:hAnsiTheme="minorHAnsi" w:cstheme="minorHAnsi"/>
          <w:sz w:val="22"/>
          <w:szCs w:val="22"/>
          <w:lang w:val="en-GB"/>
        </w:rPr>
        <w:t>Social Dimension of Higher Education (EOSDHE)</w:t>
      </w:r>
      <w:r w:rsidR="00FC4438">
        <w:rPr>
          <w:rFonts w:asciiTheme="minorHAnsi" w:hAnsiTheme="minorHAnsi" w:cstheme="minorHAnsi"/>
          <w:sz w:val="22"/>
          <w:szCs w:val="22"/>
          <w:lang w:val="en-GB"/>
        </w:rPr>
        <w:t xml:space="preserve">. </w:t>
      </w:r>
    </w:p>
    <w:p w:rsidR="00FC4438" w:rsidRDefault="00FC4438" w:rsidP="005C3151">
      <w:pPr>
        <w:rPr>
          <w:rFonts w:asciiTheme="minorHAnsi" w:hAnsiTheme="minorHAnsi" w:cstheme="minorHAnsi"/>
          <w:sz w:val="22"/>
          <w:szCs w:val="22"/>
          <w:lang w:val="en-GB"/>
        </w:rPr>
      </w:pPr>
    </w:p>
    <w:p w:rsidR="00FC4438" w:rsidRDefault="00FC4438" w:rsidP="005C3151">
      <w:pPr>
        <w:rPr>
          <w:rFonts w:asciiTheme="minorHAnsi" w:hAnsiTheme="minorHAnsi" w:cstheme="minorHAnsi"/>
          <w:sz w:val="22"/>
          <w:szCs w:val="22"/>
          <w:lang w:val="en-GB"/>
        </w:rPr>
      </w:pPr>
      <w:r>
        <w:rPr>
          <w:rFonts w:asciiTheme="minorHAnsi" w:hAnsiTheme="minorHAnsi" w:cstheme="minorHAnsi"/>
          <w:sz w:val="22"/>
          <w:szCs w:val="22"/>
          <w:lang w:val="en-GB"/>
        </w:rPr>
        <w:t xml:space="preserve">It would have the purpose of supporting a structured and systematic peer learning between countries and institutions in order to lead to improvements in the social dimension in European higher education. </w:t>
      </w:r>
    </w:p>
    <w:p w:rsidR="005C3151" w:rsidRDefault="005C3151" w:rsidP="005C3151">
      <w:pPr>
        <w:rPr>
          <w:rFonts w:asciiTheme="minorHAnsi" w:hAnsiTheme="minorHAnsi" w:cstheme="minorHAnsi"/>
          <w:sz w:val="22"/>
          <w:szCs w:val="22"/>
          <w:lang w:val="en-GB"/>
        </w:rPr>
      </w:pPr>
    </w:p>
    <w:p w:rsidR="00A14553" w:rsidRPr="00BD6B01" w:rsidRDefault="00A14553" w:rsidP="00A14553">
      <w:pPr>
        <w:rPr>
          <w:rFonts w:asciiTheme="minorHAnsi" w:hAnsiTheme="minorHAnsi" w:cstheme="minorHAnsi"/>
          <w:i/>
          <w:sz w:val="22"/>
          <w:szCs w:val="22"/>
          <w:lang w:val="en-GB"/>
        </w:rPr>
      </w:pPr>
      <w:r w:rsidRPr="00BD6B01">
        <w:rPr>
          <w:rFonts w:asciiTheme="minorHAnsi" w:hAnsiTheme="minorHAnsi" w:cstheme="minorHAnsi"/>
          <w:i/>
          <w:sz w:val="22"/>
          <w:szCs w:val="22"/>
          <w:lang w:val="en-GB"/>
        </w:rPr>
        <w:t xml:space="preserve">We in EUROSTUDENT would be very interested in setting up a project to kick-off the work of an Observatory because of our interest in the field of the social dimension and because we know that the policies and measures which are actually implemented in the European countries are a </w:t>
      </w:r>
      <w:proofErr w:type="spellStart"/>
      <w:r w:rsidRPr="00BD6B01">
        <w:rPr>
          <w:rFonts w:asciiTheme="minorHAnsi" w:hAnsiTheme="minorHAnsi" w:cstheme="minorHAnsi"/>
          <w:i/>
          <w:sz w:val="22"/>
          <w:szCs w:val="22"/>
          <w:lang w:val="en-GB"/>
        </w:rPr>
        <w:t>blackbox</w:t>
      </w:r>
      <w:proofErr w:type="spellEnd"/>
      <w:r w:rsidRPr="00BD6B01">
        <w:rPr>
          <w:rFonts w:asciiTheme="minorHAnsi" w:hAnsiTheme="minorHAnsi" w:cstheme="minorHAnsi"/>
          <w:i/>
          <w:sz w:val="22"/>
          <w:szCs w:val="22"/>
          <w:lang w:val="en-GB"/>
        </w:rPr>
        <w:t xml:space="preserve"> for our</w:t>
      </w:r>
      <w:r w:rsidR="007C46DE" w:rsidRPr="00BD6B01">
        <w:rPr>
          <w:rFonts w:asciiTheme="minorHAnsi" w:hAnsiTheme="minorHAnsi" w:cstheme="minorHAnsi"/>
          <w:i/>
          <w:sz w:val="22"/>
          <w:szCs w:val="22"/>
          <w:lang w:val="en-GB"/>
        </w:rPr>
        <w:t xml:space="preserve"> own</w:t>
      </w:r>
      <w:r w:rsidRPr="00BD6B01">
        <w:rPr>
          <w:rFonts w:asciiTheme="minorHAnsi" w:hAnsiTheme="minorHAnsi" w:cstheme="minorHAnsi"/>
          <w:i/>
          <w:sz w:val="22"/>
          <w:szCs w:val="22"/>
          <w:lang w:val="en-GB"/>
        </w:rPr>
        <w:t xml:space="preserve"> analyses. At the same time, we see that there is a need for a central, </w:t>
      </w:r>
      <w:r w:rsidR="007C46DE" w:rsidRPr="00BD6B01">
        <w:rPr>
          <w:rFonts w:asciiTheme="minorHAnsi" w:hAnsiTheme="minorHAnsi" w:cstheme="minorHAnsi"/>
          <w:i/>
          <w:sz w:val="22"/>
          <w:szCs w:val="22"/>
          <w:lang w:val="en-GB"/>
        </w:rPr>
        <w:t xml:space="preserve">sorting </w:t>
      </w:r>
      <w:r w:rsidRPr="00BD6B01">
        <w:rPr>
          <w:rFonts w:asciiTheme="minorHAnsi" w:hAnsiTheme="minorHAnsi" w:cstheme="minorHAnsi"/>
          <w:i/>
          <w:sz w:val="22"/>
          <w:szCs w:val="22"/>
          <w:lang w:val="en-GB"/>
        </w:rPr>
        <w:t>and</w:t>
      </w:r>
      <w:r w:rsidR="007C46DE" w:rsidRPr="00BD6B01">
        <w:rPr>
          <w:rFonts w:asciiTheme="minorHAnsi" w:hAnsiTheme="minorHAnsi" w:cstheme="minorHAnsi"/>
          <w:i/>
          <w:sz w:val="22"/>
          <w:szCs w:val="22"/>
          <w:lang w:val="en-GB"/>
        </w:rPr>
        <w:t xml:space="preserve"> </w:t>
      </w:r>
      <w:r w:rsidR="007C46DE" w:rsidRPr="00BD6B01">
        <w:rPr>
          <w:rFonts w:asciiTheme="minorHAnsi" w:hAnsiTheme="minorHAnsi" w:cstheme="minorHAnsi"/>
          <w:i/>
          <w:sz w:val="22"/>
          <w:szCs w:val="22"/>
          <w:lang w:val="en-GB"/>
        </w:rPr>
        <w:lastRenderedPageBreak/>
        <w:t>coordinating point</w:t>
      </w:r>
      <w:r w:rsidRPr="00BD6B01">
        <w:rPr>
          <w:rFonts w:asciiTheme="minorHAnsi" w:hAnsiTheme="minorHAnsi" w:cstheme="minorHAnsi"/>
          <w:i/>
          <w:sz w:val="22"/>
          <w:szCs w:val="22"/>
          <w:lang w:val="en-GB"/>
        </w:rPr>
        <w:t xml:space="preserve">, which </w:t>
      </w:r>
      <w:r w:rsidR="007C46DE" w:rsidRPr="00BD6B01">
        <w:rPr>
          <w:rFonts w:asciiTheme="minorHAnsi" w:hAnsiTheme="minorHAnsi" w:cstheme="minorHAnsi"/>
          <w:i/>
          <w:sz w:val="22"/>
          <w:szCs w:val="22"/>
          <w:lang w:val="en-GB"/>
        </w:rPr>
        <w:t>could</w:t>
      </w:r>
      <w:r w:rsidRPr="00BD6B01">
        <w:rPr>
          <w:rFonts w:asciiTheme="minorHAnsi" w:hAnsiTheme="minorHAnsi" w:cstheme="minorHAnsi"/>
          <w:i/>
          <w:sz w:val="22"/>
          <w:szCs w:val="22"/>
          <w:lang w:val="en-GB"/>
        </w:rPr>
        <w:t xml:space="preserve"> help </w:t>
      </w:r>
      <w:r w:rsidR="007C46DE" w:rsidRPr="00BD6B01">
        <w:rPr>
          <w:rFonts w:asciiTheme="minorHAnsi" w:hAnsiTheme="minorHAnsi" w:cstheme="minorHAnsi"/>
          <w:i/>
          <w:sz w:val="22"/>
          <w:szCs w:val="22"/>
          <w:lang w:val="en-GB"/>
        </w:rPr>
        <w:t xml:space="preserve">to </w:t>
      </w:r>
      <w:r w:rsidRPr="00BD6B01">
        <w:rPr>
          <w:rFonts w:asciiTheme="minorHAnsi" w:hAnsiTheme="minorHAnsi" w:cstheme="minorHAnsi"/>
          <w:i/>
          <w:sz w:val="22"/>
          <w:szCs w:val="22"/>
          <w:lang w:val="en-GB"/>
        </w:rPr>
        <w:t>give meaning to the term “social dimension in higher education”</w:t>
      </w:r>
      <w:r w:rsidR="00F12FEE" w:rsidRPr="00BD6B01">
        <w:rPr>
          <w:rFonts w:asciiTheme="minorHAnsi" w:hAnsiTheme="minorHAnsi" w:cstheme="minorHAnsi"/>
          <w:i/>
          <w:sz w:val="22"/>
          <w:szCs w:val="22"/>
          <w:lang w:val="en-GB"/>
        </w:rPr>
        <w:t xml:space="preserve"> and this is what the Observatory would be</w:t>
      </w:r>
      <w:r w:rsidRPr="00BD6B01">
        <w:rPr>
          <w:rFonts w:asciiTheme="minorHAnsi" w:hAnsiTheme="minorHAnsi" w:cstheme="minorHAnsi"/>
          <w:i/>
          <w:sz w:val="22"/>
          <w:szCs w:val="22"/>
          <w:lang w:val="en-GB"/>
        </w:rPr>
        <w:t xml:space="preserve">. </w:t>
      </w:r>
    </w:p>
    <w:p w:rsidR="00FC4438" w:rsidRPr="005C3151" w:rsidRDefault="00FC4438" w:rsidP="00A14553">
      <w:pPr>
        <w:rPr>
          <w:rFonts w:asciiTheme="minorHAnsi" w:hAnsiTheme="minorHAnsi" w:cstheme="minorHAnsi"/>
          <w:sz w:val="22"/>
          <w:szCs w:val="22"/>
          <w:lang w:val="en-GB"/>
        </w:rPr>
      </w:pPr>
    </w:p>
    <w:p w:rsidR="00BD6B01" w:rsidRPr="005C3151" w:rsidRDefault="00BD6B01" w:rsidP="00BD6B01">
      <w:pPr>
        <w:pStyle w:val="Listenabsatz"/>
        <w:numPr>
          <w:ilvl w:val="0"/>
          <w:numId w:val="8"/>
        </w:numPr>
        <w:rPr>
          <w:rFonts w:asciiTheme="minorHAnsi" w:hAnsiTheme="minorHAnsi" w:cstheme="minorHAnsi"/>
          <w:b/>
          <w:sz w:val="28"/>
          <w:szCs w:val="28"/>
          <w:lang w:val="en-GB"/>
        </w:rPr>
      </w:pPr>
      <w:r>
        <w:rPr>
          <w:rFonts w:asciiTheme="minorHAnsi" w:hAnsiTheme="minorHAnsi" w:cstheme="minorHAnsi"/>
          <w:b/>
          <w:sz w:val="28"/>
          <w:szCs w:val="28"/>
          <w:lang w:val="en-GB"/>
        </w:rPr>
        <w:t>Objectives and activities</w:t>
      </w:r>
    </w:p>
    <w:p w:rsidR="00BD6B01" w:rsidRDefault="00BD6B01" w:rsidP="00A14553">
      <w:pPr>
        <w:rPr>
          <w:rFonts w:asciiTheme="minorHAnsi" w:hAnsiTheme="minorHAnsi" w:cstheme="minorHAnsi"/>
          <w:sz w:val="22"/>
          <w:szCs w:val="22"/>
          <w:lang w:val="en-GB"/>
        </w:rPr>
      </w:pPr>
    </w:p>
    <w:p w:rsidR="00A14553" w:rsidRPr="005C3151" w:rsidRDefault="00F12FEE"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We agree with the idea</w:t>
      </w:r>
      <w:r w:rsidR="00BD6B01">
        <w:rPr>
          <w:rFonts w:asciiTheme="minorHAnsi" w:hAnsiTheme="minorHAnsi" w:cstheme="minorHAnsi"/>
          <w:sz w:val="22"/>
          <w:szCs w:val="22"/>
          <w:lang w:val="en-GB"/>
        </w:rPr>
        <w:t>s already discussed in the Working Group, namely</w:t>
      </w:r>
      <w:r w:rsidRPr="005C3151">
        <w:rPr>
          <w:rFonts w:asciiTheme="minorHAnsi" w:hAnsiTheme="minorHAnsi" w:cstheme="minorHAnsi"/>
          <w:sz w:val="22"/>
          <w:szCs w:val="22"/>
          <w:lang w:val="en-GB"/>
        </w:rPr>
        <w:t xml:space="preserve"> that an O</w:t>
      </w:r>
      <w:r w:rsidR="00A14553" w:rsidRPr="005C3151">
        <w:rPr>
          <w:rFonts w:asciiTheme="minorHAnsi" w:hAnsiTheme="minorHAnsi" w:cstheme="minorHAnsi"/>
          <w:sz w:val="22"/>
          <w:szCs w:val="22"/>
          <w:lang w:val="en-GB"/>
        </w:rPr>
        <w:t xml:space="preserve">bservatory should </w:t>
      </w:r>
      <w:r w:rsidR="007C46DE" w:rsidRPr="005C3151">
        <w:rPr>
          <w:rFonts w:asciiTheme="minorHAnsi" w:hAnsiTheme="minorHAnsi" w:cstheme="minorHAnsi"/>
          <w:sz w:val="22"/>
          <w:szCs w:val="22"/>
          <w:lang w:val="en-GB"/>
        </w:rPr>
        <w:t>cover</w:t>
      </w:r>
      <w:r w:rsidR="00A14553" w:rsidRPr="005C3151">
        <w:rPr>
          <w:rFonts w:asciiTheme="minorHAnsi" w:hAnsiTheme="minorHAnsi" w:cstheme="minorHAnsi"/>
          <w:sz w:val="22"/>
          <w:szCs w:val="22"/>
          <w:lang w:val="en-GB"/>
        </w:rPr>
        <w:t xml:space="preserve">: </w:t>
      </w:r>
    </w:p>
    <w:p w:rsidR="00A14553" w:rsidRPr="005C3151" w:rsidRDefault="00A14553" w:rsidP="00A14553">
      <w:pPr>
        <w:rPr>
          <w:rFonts w:asciiTheme="minorHAnsi" w:hAnsiTheme="minorHAnsi" w:cstheme="minorHAnsi"/>
          <w:sz w:val="22"/>
          <w:szCs w:val="22"/>
          <w:lang w:val="en-GB"/>
        </w:rPr>
      </w:pPr>
    </w:p>
    <w:p w:rsidR="00A14553" w:rsidRPr="005C3151" w:rsidRDefault="00A14553" w:rsidP="00A14553">
      <w:pPr>
        <w:pStyle w:val="Listenabsatz"/>
        <w:numPr>
          <w:ilvl w:val="0"/>
          <w:numId w:val="1"/>
        </w:numPr>
        <w:rPr>
          <w:rFonts w:asciiTheme="minorHAnsi" w:hAnsiTheme="minorHAnsi" w:cstheme="minorHAnsi"/>
          <w:sz w:val="22"/>
          <w:szCs w:val="22"/>
          <w:lang w:val="en-GB"/>
        </w:rPr>
      </w:pPr>
      <w:r w:rsidRPr="005C3151">
        <w:rPr>
          <w:rFonts w:asciiTheme="minorHAnsi" w:hAnsiTheme="minorHAnsi" w:cstheme="minorHAnsi"/>
          <w:sz w:val="22"/>
          <w:szCs w:val="22"/>
          <w:lang w:val="en-GB"/>
        </w:rPr>
        <w:t>monitoring relevant aspects of the social dimension implementation across EHEA (i.e. national targets and national action plans on social dimension)</w:t>
      </w:r>
    </w:p>
    <w:p w:rsidR="00446164" w:rsidRPr="005C3151" w:rsidRDefault="00A14553" w:rsidP="00A14553">
      <w:pPr>
        <w:pStyle w:val="Listenabsatz"/>
        <w:numPr>
          <w:ilvl w:val="0"/>
          <w:numId w:val="1"/>
        </w:numPr>
        <w:rPr>
          <w:rFonts w:asciiTheme="minorHAnsi" w:hAnsiTheme="minorHAnsi" w:cstheme="minorHAnsi"/>
          <w:sz w:val="22"/>
          <w:szCs w:val="22"/>
          <w:lang w:val="en-GB"/>
        </w:rPr>
      </w:pPr>
      <w:r w:rsidRPr="005C3151">
        <w:rPr>
          <w:rFonts w:asciiTheme="minorHAnsi" w:hAnsiTheme="minorHAnsi" w:cstheme="minorHAnsi"/>
          <w:sz w:val="22"/>
          <w:szCs w:val="22"/>
          <w:lang w:val="en-GB"/>
        </w:rPr>
        <w:t>collection of good practices and successful stories at national, regional and institutional level (i.e. exchange good practice on how to increase participation of underrepresented groups in higher education, access routes, flexibility of studies)</w:t>
      </w:r>
    </w:p>
    <w:p w:rsidR="00A14553" w:rsidRPr="005C3151" w:rsidRDefault="00A14553" w:rsidP="00A14553">
      <w:pPr>
        <w:rPr>
          <w:rFonts w:asciiTheme="minorHAnsi" w:hAnsiTheme="minorHAnsi" w:cstheme="minorHAnsi"/>
          <w:sz w:val="22"/>
          <w:szCs w:val="22"/>
          <w:lang w:val="en-GB"/>
        </w:rPr>
      </w:pPr>
    </w:p>
    <w:p w:rsidR="007C46DE" w:rsidRPr="005C3151" w:rsidRDefault="00A14553"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These tasks could be seen as the </w:t>
      </w:r>
      <w:r w:rsidRPr="005C3151">
        <w:rPr>
          <w:rFonts w:asciiTheme="minorHAnsi" w:hAnsiTheme="minorHAnsi" w:cstheme="minorHAnsi"/>
          <w:sz w:val="22"/>
          <w:szCs w:val="22"/>
          <w:u w:val="single"/>
          <w:lang w:val="en-GB"/>
        </w:rPr>
        <w:t>passive</w:t>
      </w:r>
      <w:r w:rsidRPr="005C3151">
        <w:rPr>
          <w:rFonts w:asciiTheme="minorHAnsi" w:hAnsiTheme="minorHAnsi" w:cstheme="minorHAnsi"/>
          <w:sz w:val="22"/>
          <w:szCs w:val="22"/>
          <w:lang w:val="en-GB"/>
        </w:rPr>
        <w:t xml:space="preserve"> tasks of the Observatory. </w:t>
      </w:r>
    </w:p>
    <w:p w:rsidR="007C46DE" w:rsidRPr="005C3151" w:rsidRDefault="007C46DE" w:rsidP="00A14553">
      <w:pPr>
        <w:rPr>
          <w:rFonts w:asciiTheme="minorHAnsi" w:hAnsiTheme="minorHAnsi" w:cstheme="minorHAnsi"/>
          <w:sz w:val="22"/>
          <w:szCs w:val="22"/>
          <w:lang w:val="en-GB"/>
        </w:rPr>
      </w:pPr>
    </w:p>
    <w:p w:rsidR="007C46DE" w:rsidRPr="005C3151" w:rsidRDefault="00A14553"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The strategies and practices which are being used throughout the EHEA would be collected and systematically </w:t>
      </w:r>
      <w:r w:rsidR="00BD6B01" w:rsidRPr="005C3151">
        <w:rPr>
          <w:rFonts w:asciiTheme="minorHAnsi" w:hAnsiTheme="minorHAnsi" w:cstheme="minorHAnsi"/>
          <w:sz w:val="22"/>
          <w:szCs w:val="22"/>
          <w:lang w:val="en-GB"/>
        </w:rPr>
        <w:t>catalogued</w:t>
      </w:r>
      <w:r w:rsidRPr="005C3151">
        <w:rPr>
          <w:rFonts w:asciiTheme="minorHAnsi" w:hAnsiTheme="minorHAnsi" w:cstheme="minorHAnsi"/>
          <w:sz w:val="22"/>
          <w:szCs w:val="22"/>
          <w:lang w:val="en-GB"/>
        </w:rPr>
        <w:t xml:space="preserve">. </w:t>
      </w:r>
      <w:r w:rsidR="00F12FEE" w:rsidRPr="005C3151">
        <w:rPr>
          <w:rFonts w:asciiTheme="minorHAnsi" w:hAnsiTheme="minorHAnsi" w:cstheme="minorHAnsi"/>
          <w:sz w:val="22"/>
          <w:szCs w:val="22"/>
          <w:lang w:val="en-GB"/>
        </w:rPr>
        <w:t>They</w:t>
      </w:r>
      <w:r w:rsidRPr="005C3151">
        <w:rPr>
          <w:rFonts w:asciiTheme="minorHAnsi" w:hAnsiTheme="minorHAnsi" w:cstheme="minorHAnsi"/>
          <w:sz w:val="22"/>
          <w:szCs w:val="22"/>
          <w:lang w:val="en-GB"/>
        </w:rPr>
        <w:t xml:space="preserve"> could then be made available on an exclusive or open website, where other actors from other countries or institutions could look up what is available and use it to influence their own policy and practice development. </w:t>
      </w:r>
      <w:r w:rsidR="007C46DE" w:rsidRPr="005C3151">
        <w:rPr>
          <w:rFonts w:asciiTheme="minorHAnsi" w:hAnsiTheme="minorHAnsi" w:cstheme="minorHAnsi"/>
          <w:sz w:val="22"/>
          <w:szCs w:val="22"/>
          <w:lang w:val="en-GB"/>
        </w:rPr>
        <w:t xml:space="preserve">Furthermore, typologies of measures could be developed to facilitate both policy development and systematic evaluations. </w:t>
      </w:r>
    </w:p>
    <w:p w:rsidR="007C46DE" w:rsidRPr="005C3151" w:rsidRDefault="007C46DE" w:rsidP="00A14553">
      <w:pPr>
        <w:rPr>
          <w:rFonts w:asciiTheme="minorHAnsi" w:hAnsiTheme="minorHAnsi" w:cstheme="minorHAnsi"/>
          <w:sz w:val="22"/>
          <w:szCs w:val="22"/>
          <w:lang w:val="en-GB"/>
        </w:rPr>
      </w:pPr>
    </w:p>
    <w:p w:rsidR="00A14553" w:rsidRPr="005C3151" w:rsidRDefault="00A14553"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In this sense, the Observatory would be supporting the open method of coordination</w:t>
      </w:r>
      <w:r w:rsidR="00CC13FF" w:rsidRPr="005C3151">
        <w:rPr>
          <w:rFonts w:asciiTheme="minorHAnsi" w:hAnsiTheme="minorHAnsi" w:cstheme="minorHAnsi"/>
          <w:sz w:val="22"/>
          <w:szCs w:val="22"/>
          <w:lang w:val="en-GB"/>
        </w:rPr>
        <w:t xml:space="preserve"> (OMC)</w:t>
      </w:r>
      <w:r w:rsidRPr="005C3151">
        <w:rPr>
          <w:rFonts w:asciiTheme="minorHAnsi" w:hAnsiTheme="minorHAnsi" w:cstheme="minorHAnsi"/>
          <w:sz w:val="22"/>
          <w:szCs w:val="22"/>
          <w:lang w:val="en-GB"/>
        </w:rPr>
        <w:t xml:space="preserve">. </w:t>
      </w:r>
    </w:p>
    <w:p w:rsidR="007C46DE" w:rsidRPr="005C3151" w:rsidRDefault="007C46DE" w:rsidP="00A14553">
      <w:pPr>
        <w:rPr>
          <w:rFonts w:asciiTheme="minorHAnsi" w:hAnsiTheme="minorHAnsi" w:cstheme="minorHAnsi"/>
          <w:sz w:val="22"/>
          <w:szCs w:val="22"/>
          <w:lang w:val="en-GB"/>
        </w:rPr>
      </w:pPr>
    </w:p>
    <w:p w:rsidR="007C46DE" w:rsidRPr="005C3151" w:rsidRDefault="007C46DE"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A further type of activity could be added to the two mentioned above. This would be:</w:t>
      </w:r>
    </w:p>
    <w:p w:rsidR="007C46DE" w:rsidRPr="005C3151" w:rsidRDefault="007C46DE" w:rsidP="00A14553">
      <w:pPr>
        <w:rPr>
          <w:rFonts w:asciiTheme="minorHAnsi" w:hAnsiTheme="minorHAnsi" w:cstheme="minorHAnsi"/>
          <w:sz w:val="22"/>
          <w:szCs w:val="22"/>
          <w:lang w:val="en-GB"/>
        </w:rPr>
      </w:pPr>
    </w:p>
    <w:p w:rsidR="007C46DE" w:rsidRPr="005C3151" w:rsidRDefault="007C46DE" w:rsidP="007C46DE">
      <w:pPr>
        <w:pStyle w:val="Listenabsatz"/>
        <w:numPr>
          <w:ilvl w:val="0"/>
          <w:numId w:val="1"/>
        </w:num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provision of expert team for the evaluation of national practices in the area of the social dimension of higher education </w:t>
      </w:r>
    </w:p>
    <w:p w:rsidR="00A14553" w:rsidRPr="005C3151" w:rsidRDefault="00A14553" w:rsidP="00A14553">
      <w:pPr>
        <w:rPr>
          <w:rFonts w:asciiTheme="minorHAnsi" w:hAnsiTheme="minorHAnsi" w:cstheme="minorHAnsi"/>
          <w:sz w:val="22"/>
          <w:szCs w:val="22"/>
          <w:lang w:val="en-GB"/>
        </w:rPr>
      </w:pPr>
    </w:p>
    <w:p w:rsidR="00A14553" w:rsidRPr="005C3151" w:rsidRDefault="007C46DE" w:rsidP="00A14553">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This </w:t>
      </w:r>
      <w:r w:rsidRPr="005C3151">
        <w:rPr>
          <w:rFonts w:asciiTheme="minorHAnsi" w:hAnsiTheme="minorHAnsi" w:cstheme="minorHAnsi"/>
          <w:sz w:val="22"/>
          <w:szCs w:val="22"/>
          <w:u w:val="single"/>
          <w:lang w:val="en-GB"/>
        </w:rPr>
        <w:t>active</w:t>
      </w:r>
      <w:r w:rsidRPr="005C3151">
        <w:rPr>
          <w:rFonts w:asciiTheme="minorHAnsi" w:hAnsiTheme="minorHAnsi" w:cstheme="minorHAnsi"/>
          <w:sz w:val="22"/>
          <w:szCs w:val="22"/>
          <w:lang w:val="en-GB"/>
        </w:rPr>
        <w:t xml:space="preserve"> task would see the Observatory as a secretariat, which can organize external reviews of country practices at the behest of these countries. This </w:t>
      </w:r>
      <w:r w:rsidR="00954B7B" w:rsidRPr="005C3151">
        <w:rPr>
          <w:rFonts w:asciiTheme="minorHAnsi" w:hAnsiTheme="minorHAnsi" w:cstheme="minorHAnsi"/>
          <w:sz w:val="22"/>
          <w:szCs w:val="22"/>
          <w:lang w:val="en-GB"/>
        </w:rPr>
        <w:t xml:space="preserve">idea is similar to what the OECD offers in terms of country reviews. If a country has just enacted reforms or would like to evaluate the current situation in its higher education system, it can call on the Observatory to help organize such a review. The secretariat would put together an international team of reviewers, who have experience and knowledge in the area, and would organize the logistics of the review together with a national team of experts. </w:t>
      </w:r>
      <w:r w:rsidR="00CC13FF" w:rsidRPr="005C3151">
        <w:rPr>
          <w:rFonts w:asciiTheme="minorHAnsi" w:hAnsiTheme="minorHAnsi" w:cstheme="minorHAnsi"/>
          <w:sz w:val="22"/>
          <w:szCs w:val="22"/>
          <w:lang w:val="en-GB"/>
        </w:rPr>
        <w:t>The external partners would then carry out a study visit to the country and formulate a review document.</w:t>
      </w:r>
    </w:p>
    <w:p w:rsidR="00954B7B" w:rsidRPr="005C3151" w:rsidRDefault="00954B7B" w:rsidP="00A14553">
      <w:pPr>
        <w:rPr>
          <w:rFonts w:asciiTheme="minorHAnsi" w:hAnsiTheme="minorHAnsi" w:cstheme="minorHAnsi"/>
          <w:sz w:val="22"/>
          <w:szCs w:val="22"/>
          <w:lang w:val="en-GB"/>
        </w:rPr>
      </w:pPr>
    </w:p>
    <w:p w:rsidR="00BD6B01" w:rsidRPr="005C3151" w:rsidRDefault="00BD6B01" w:rsidP="00BD6B01">
      <w:pPr>
        <w:pStyle w:val="Listenabsatz"/>
        <w:numPr>
          <w:ilvl w:val="0"/>
          <w:numId w:val="8"/>
        </w:numPr>
        <w:rPr>
          <w:rFonts w:asciiTheme="minorHAnsi" w:hAnsiTheme="minorHAnsi" w:cstheme="minorHAnsi"/>
          <w:b/>
          <w:sz w:val="28"/>
          <w:szCs w:val="28"/>
          <w:lang w:val="en-GB"/>
        </w:rPr>
      </w:pPr>
      <w:r>
        <w:rPr>
          <w:rFonts w:asciiTheme="minorHAnsi" w:hAnsiTheme="minorHAnsi" w:cstheme="minorHAnsi"/>
          <w:b/>
          <w:sz w:val="28"/>
          <w:szCs w:val="28"/>
          <w:lang w:val="en-GB"/>
        </w:rPr>
        <w:t>Scope</w:t>
      </w:r>
    </w:p>
    <w:p w:rsidR="002A6D7B" w:rsidRDefault="002A6D7B">
      <w:pPr>
        <w:spacing w:after="200" w:line="276" w:lineRule="auto"/>
        <w:rPr>
          <w:rFonts w:asciiTheme="minorHAnsi" w:hAnsiTheme="minorHAnsi" w:cstheme="minorHAnsi"/>
          <w:sz w:val="22"/>
          <w:szCs w:val="22"/>
          <w:lang w:val="en-GB"/>
        </w:rPr>
      </w:pPr>
    </w:p>
    <w:p w:rsidR="00BD6B01" w:rsidRDefault="00BD6B01">
      <w:pPr>
        <w:spacing w:after="200" w:line="276" w:lineRule="auto"/>
        <w:rPr>
          <w:rFonts w:asciiTheme="minorHAnsi" w:hAnsiTheme="minorHAnsi" w:cstheme="minorHAnsi"/>
          <w:sz w:val="22"/>
          <w:szCs w:val="22"/>
          <w:lang w:val="en-GB"/>
        </w:rPr>
      </w:pPr>
      <w:r w:rsidRPr="00BD6B01">
        <w:rPr>
          <w:rFonts w:asciiTheme="minorHAnsi" w:hAnsiTheme="minorHAnsi" w:cstheme="minorHAnsi"/>
          <w:sz w:val="22"/>
          <w:szCs w:val="22"/>
          <w:lang w:val="en-GB"/>
        </w:rPr>
        <w:t xml:space="preserve">Taking the lead from both the outcomes of the Bologna </w:t>
      </w:r>
      <w:r>
        <w:rPr>
          <w:rFonts w:asciiTheme="minorHAnsi" w:hAnsiTheme="minorHAnsi" w:cstheme="minorHAnsi"/>
          <w:sz w:val="22"/>
          <w:szCs w:val="22"/>
          <w:lang w:val="en-GB"/>
        </w:rPr>
        <w:t>Social Dimension Coordination Group (2007-2009) and current internal papers and discussions with the Bologna Working Group on the Social Dimension at present (2009-2012), the proposed observatory will collate and catalogue initiatives and measures which have the objective of reducing barriers to higher education entry and of providing a conducive study environment for all students, which can lead to their successful graduation.</w:t>
      </w:r>
    </w:p>
    <w:p w:rsidR="00BD6B01" w:rsidRDefault="00BD6B01">
      <w:pPr>
        <w:spacing w:after="200" w:line="276" w:lineRule="auto"/>
        <w:rPr>
          <w:rFonts w:asciiTheme="minorHAnsi" w:hAnsiTheme="minorHAnsi" w:cstheme="minorHAnsi"/>
          <w:sz w:val="22"/>
          <w:szCs w:val="22"/>
          <w:lang w:val="en-GB"/>
        </w:rPr>
      </w:pPr>
      <w:r>
        <w:rPr>
          <w:rFonts w:asciiTheme="minorHAnsi" w:hAnsiTheme="minorHAnsi" w:cstheme="minorHAnsi"/>
          <w:sz w:val="22"/>
          <w:szCs w:val="22"/>
          <w:lang w:val="en-GB"/>
        </w:rPr>
        <w:t>It will use a basic typology similar to the one below to systematically collate information on measures and initiatives and prepare then both for peer learning and for analysis.</w:t>
      </w:r>
    </w:p>
    <w:p w:rsidR="00BD6B01" w:rsidRDefault="00BD6B01">
      <w:pPr>
        <w:spacing w:after="200" w:line="276" w:lineRule="auto"/>
        <w:rPr>
          <w:rFonts w:asciiTheme="minorHAnsi" w:hAnsiTheme="minorHAnsi" w:cstheme="minorHAnsi"/>
          <w:sz w:val="22"/>
          <w:szCs w:val="22"/>
          <w:lang w:val="en-GB"/>
        </w:rPr>
      </w:pPr>
    </w:p>
    <w:p w:rsidR="00BD6B01" w:rsidRDefault="00BD6B01">
      <w:pPr>
        <w:spacing w:after="200" w:line="276" w:lineRule="auto"/>
        <w:rPr>
          <w:rFonts w:asciiTheme="minorHAnsi" w:hAnsiTheme="minorHAnsi" w:cstheme="minorHAnsi"/>
          <w:sz w:val="22"/>
          <w:szCs w:val="22"/>
          <w:lang w:val="en-GB"/>
        </w:rPr>
      </w:pPr>
    </w:p>
    <w:p w:rsidR="008C3DA1" w:rsidRPr="008C3DA1" w:rsidRDefault="008C3DA1" w:rsidP="008C3DA1">
      <w:pPr>
        <w:pStyle w:val="Beschriftung"/>
        <w:keepNext/>
        <w:rPr>
          <w:lang w:val="en-US"/>
        </w:rPr>
      </w:pPr>
      <w:r w:rsidRPr="008C3DA1">
        <w:rPr>
          <w:lang w:val="en-US"/>
        </w:rPr>
        <w:t xml:space="preserve">Table </w:t>
      </w:r>
      <w:r>
        <w:fldChar w:fldCharType="begin"/>
      </w:r>
      <w:r w:rsidRPr="008C3DA1">
        <w:rPr>
          <w:lang w:val="en-US"/>
        </w:rPr>
        <w:instrText xml:space="preserve"> SEQ Table \* ARABIC </w:instrText>
      </w:r>
      <w:r>
        <w:fldChar w:fldCharType="separate"/>
      </w:r>
      <w:r w:rsidRPr="008C3DA1">
        <w:rPr>
          <w:noProof/>
          <w:lang w:val="en-US"/>
        </w:rPr>
        <w:t>1</w:t>
      </w:r>
      <w:r>
        <w:fldChar w:fldCharType="end"/>
      </w:r>
      <w:r w:rsidRPr="008C3DA1">
        <w:rPr>
          <w:lang w:val="en-US"/>
        </w:rPr>
        <w:t>: Possible typology for the collation of SD measures</w:t>
      </w:r>
    </w:p>
    <w:tbl>
      <w:tblPr>
        <w:tblStyle w:val="MittlereSchattierung1-Akzent1"/>
        <w:tblW w:w="0" w:type="auto"/>
        <w:tblLook w:val="04A0"/>
      </w:tblPr>
      <w:tblGrid>
        <w:gridCol w:w="1894"/>
        <w:gridCol w:w="1891"/>
        <w:gridCol w:w="1891"/>
        <w:gridCol w:w="1964"/>
        <w:gridCol w:w="1648"/>
      </w:tblGrid>
      <w:tr w:rsidR="00BD6B01" w:rsidTr="002760BB">
        <w:trPr>
          <w:cnfStyle w:val="100000000000"/>
        </w:trPr>
        <w:tc>
          <w:tcPr>
            <w:cnfStyle w:val="001000000000"/>
            <w:tcW w:w="1894" w:type="dxa"/>
          </w:tcPr>
          <w:p w:rsidR="00BD6B01" w:rsidRPr="00BD6B01" w:rsidRDefault="00BD6B01">
            <w:pPr>
              <w:spacing w:after="200" w:line="276" w:lineRule="auto"/>
              <w:rPr>
                <w:rFonts w:asciiTheme="minorHAnsi" w:hAnsiTheme="minorHAnsi" w:cstheme="minorHAnsi"/>
                <w:b w:val="0"/>
                <w:lang w:val="en-GB"/>
              </w:rPr>
            </w:pPr>
            <w:r w:rsidRPr="00BD6B01">
              <w:rPr>
                <w:rFonts w:asciiTheme="minorHAnsi" w:hAnsiTheme="minorHAnsi" w:cstheme="minorHAnsi"/>
                <w:b w:val="0"/>
                <w:lang w:val="en-GB"/>
              </w:rPr>
              <w:t>Measure occurs</w:t>
            </w:r>
          </w:p>
        </w:tc>
        <w:tc>
          <w:tcPr>
            <w:tcW w:w="7394" w:type="dxa"/>
            <w:gridSpan w:val="4"/>
          </w:tcPr>
          <w:p w:rsidR="00BD6B01" w:rsidRPr="00BD6B01" w:rsidRDefault="00BD6B01">
            <w:pPr>
              <w:spacing w:after="200" w:line="276" w:lineRule="auto"/>
              <w:cnfStyle w:val="100000000000"/>
              <w:rPr>
                <w:rFonts w:asciiTheme="minorHAnsi" w:hAnsiTheme="minorHAnsi" w:cstheme="minorHAnsi"/>
                <w:b w:val="0"/>
                <w:i/>
                <w:lang w:val="en-GB"/>
              </w:rPr>
            </w:pPr>
            <w:r w:rsidRPr="00BD6B01">
              <w:rPr>
                <w:rFonts w:asciiTheme="minorHAnsi" w:hAnsiTheme="minorHAnsi" w:cstheme="minorHAnsi"/>
                <w:b w:val="0"/>
                <w:i/>
                <w:lang w:val="en-GB"/>
              </w:rPr>
              <w:t>To whom?</w:t>
            </w:r>
          </w:p>
        </w:tc>
      </w:tr>
      <w:tr w:rsidR="00BD6B01" w:rsidTr="002760BB">
        <w:trPr>
          <w:cnfStyle w:val="000000100000"/>
        </w:trPr>
        <w:tc>
          <w:tcPr>
            <w:cnfStyle w:val="001000000000"/>
            <w:tcW w:w="1894" w:type="dxa"/>
          </w:tcPr>
          <w:p w:rsidR="00BD6B01" w:rsidRPr="00BD6B01" w:rsidRDefault="00BD6B01">
            <w:pPr>
              <w:spacing w:after="200" w:line="276" w:lineRule="auto"/>
              <w:rPr>
                <w:rFonts w:asciiTheme="minorHAnsi" w:hAnsiTheme="minorHAnsi" w:cstheme="minorHAnsi"/>
                <w:b w:val="0"/>
                <w:i/>
                <w:lang w:val="en-GB"/>
              </w:rPr>
            </w:pPr>
            <w:r w:rsidRPr="00BD6B01">
              <w:rPr>
                <w:rFonts w:asciiTheme="minorHAnsi" w:hAnsiTheme="minorHAnsi" w:cstheme="minorHAnsi"/>
                <w:b w:val="0"/>
                <w:i/>
                <w:lang w:val="en-GB"/>
              </w:rPr>
              <w:t>Where?</w:t>
            </w:r>
          </w:p>
        </w:tc>
        <w:tc>
          <w:tcPr>
            <w:tcW w:w="3782" w:type="dxa"/>
            <w:gridSpan w:val="2"/>
          </w:tcPr>
          <w:p w:rsidR="00BD6B01" w:rsidRPr="004F5251" w:rsidRDefault="00BD6B01">
            <w:pPr>
              <w:spacing w:after="200" w:line="276" w:lineRule="auto"/>
              <w:cnfStyle w:val="000000100000"/>
              <w:rPr>
                <w:rFonts w:asciiTheme="minorHAnsi" w:hAnsiTheme="minorHAnsi" w:cstheme="minorHAnsi"/>
                <w:b/>
                <w:lang w:val="en-GB"/>
              </w:rPr>
            </w:pPr>
            <w:r w:rsidRPr="004F5251">
              <w:rPr>
                <w:rFonts w:asciiTheme="minorHAnsi" w:hAnsiTheme="minorHAnsi" w:cstheme="minorHAnsi"/>
                <w:b/>
                <w:lang w:val="en-GB"/>
              </w:rPr>
              <w:t>Person</w:t>
            </w:r>
          </w:p>
        </w:tc>
        <w:tc>
          <w:tcPr>
            <w:tcW w:w="3612" w:type="dxa"/>
            <w:gridSpan w:val="2"/>
          </w:tcPr>
          <w:p w:rsidR="00BD6B01" w:rsidRPr="004F5251" w:rsidRDefault="00BD6B01">
            <w:pPr>
              <w:spacing w:after="200" w:line="276" w:lineRule="auto"/>
              <w:cnfStyle w:val="000000100000"/>
              <w:rPr>
                <w:rFonts w:asciiTheme="minorHAnsi" w:hAnsiTheme="minorHAnsi" w:cstheme="minorHAnsi"/>
                <w:b/>
                <w:lang w:val="en-GB"/>
              </w:rPr>
            </w:pPr>
            <w:r w:rsidRPr="004F5251">
              <w:rPr>
                <w:rFonts w:asciiTheme="minorHAnsi" w:hAnsiTheme="minorHAnsi" w:cstheme="minorHAnsi"/>
                <w:b/>
                <w:lang w:val="en-GB"/>
              </w:rPr>
              <w:t>Institution</w:t>
            </w:r>
          </w:p>
        </w:tc>
      </w:tr>
      <w:tr w:rsidR="00BD6B01" w:rsidTr="002760BB">
        <w:trPr>
          <w:cnfStyle w:val="000000010000"/>
        </w:trPr>
        <w:tc>
          <w:tcPr>
            <w:cnfStyle w:val="001000000000"/>
            <w:tcW w:w="1894" w:type="dxa"/>
          </w:tcPr>
          <w:p w:rsidR="00BD6B01" w:rsidRDefault="00BD6B01">
            <w:pPr>
              <w:spacing w:after="200" w:line="276" w:lineRule="auto"/>
              <w:rPr>
                <w:rFonts w:asciiTheme="minorHAnsi" w:hAnsiTheme="minorHAnsi" w:cstheme="minorHAnsi"/>
                <w:lang w:val="en-GB"/>
              </w:rPr>
            </w:pPr>
          </w:p>
        </w:tc>
        <w:tc>
          <w:tcPr>
            <w:tcW w:w="1891" w:type="dxa"/>
          </w:tcPr>
          <w:p w:rsidR="00BD6B01" w:rsidRDefault="00BD6B01">
            <w:pPr>
              <w:spacing w:after="200" w:line="276" w:lineRule="auto"/>
              <w:cnfStyle w:val="000000010000"/>
              <w:rPr>
                <w:rFonts w:asciiTheme="minorHAnsi" w:hAnsiTheme="minorHAnsi" w:cstheme="minorHAnsi"/>
                <w:lang w:val="en-GB"/>
              </w:rPr>
            </w:pPr>
            <w:r>
              <w:rPr>
                <w:rFonts w:asciiTheme="minorHAnsi" w:hAnsiTheme="minorHAnsi" w:cstheme="minorHAnsi"/>
                <w:lang w:val="en-GB"/>
              </w:rPr>
              <w:t>All students</w:t>
            </w:r>
          </w:p>
        </w:tc>
        <w:tc>
          <w:tcPr>
            <w:tcW w:w="1891" w:type="dxa"/>
          </w:tcPr>
          <w:p w:rsidR="00BD6B01" w:rsidRDefault="00BD6B01">
            <w:pPr>
              <w:spacing w:after="200" w:line="276" w:lineRule="auto"/>
              <w:cnfStyle w:val="000000010000"/>
              <w:rPr>
                <w:rFonts w:asciiTheme="minorHAnsi" w:hAnsiTheme="minorHAnsi" w:cstheme="minorHAnsi"/>
                <w:lang w:val="en-GB"/>
              </w:rPr>
            </w:pPr>
            <w:r>
              <w:rPr>
                <w:rFonts w:asciiTheme="minorHAnsi" w:hAnsiTheme="minorHAnsi" w:cstheme="minorHAnsi"/>
                <w:lang w:val="en-GB"/>
              </w:rPr>
              <w:t>Selected students</w:t>
            </w:r>
          </w:p>
        </w:tc>
        <w:tc>
          <w:tcPr>
            <w:tcW w:w="1964" w:type="dxa"/>
          </w:tcPr>
          <w:p w:rsidR="00BD6B01" w:rsidRDefault="00BD6B01">
            <w:pPr>
              <w:spacing w:after="200" w:line="276" w:lineRule="auto"/>
              <w:cnfStyle w:val="000000010000"/>
              <w:rPr>
                <w:rFonts w:asciiTheme="minorHAnsi" w:hAnsiTheme="minorHAnsi" w:cstheme="minorHAnsi"/>
                <w:lang w:val="en-GB"/>
              </w:rPr>
            </w:pPr>
            <w:r>
              <w:rPr>
                <w:rFonts w:asciiTheme="minorHAnsi" w:hAnsiTheme="minorHAnsi" w:cstheme="minorHAnsi"/>
                <w:lang w:val="en-GB"/>
              </w:rPr>
              <w:t xml:space="preserve">All higher education institutions </w:t>
            </w:r>
          </w:p>
        </w:tc>
        <w:tc>
          <w:tcPr>
            <w:tcW w:w="1648" w:type="dxa"/>
          </w:tcPr>
          <w:p w:rsidR="00BD6B01" w:rsidRDefault="00BD6B01">
            <w:pPr>
              <w:spacing w:after="200" w:line="276" w:lineRule="auto"/>
              <w:cnfStyle w:val="000000010000"/>
              <w:rPr>
                <w:rFonts w:asciiTheme="minorHAnsi" w:hAnsiTheme="minorHAnsi" w:cstheme="minorHAnsi"/>
                <w:lang w:val="en-GB"/>
              </w:rPr>
            </w:pPr>
            <w:r>
              <w:rPr>
                <w:rFonts w:asciiTheme="minorHAnsi" w:hAnsiTheme="minorHAnsi" w:cstheme="minorHAnsi"/>
                <w:lang w:val="en-GB"/>
              </w:rPr>
              <w:t>Selected higher education institutions</w:t>
            </w:r>
          </w:p>
        </w:tc>
      </w:tr>
      <w:tr w:rsidR="00BD6B01" w:rsidTr="002760BB">
        <w:trPr>
          <w:cnfStyle w:val="000000100000"/>
        </w:trPr>
        <w:tc>
          <w:tcPr>
            <w:cnfStyle w:val="001000000000"/>
            <w:tcW w:w="1894" w:type="dxa"/>
          </w:tcPr>
          <w:p w:rsidR="00BD6B01" w:rsidRDefault="00BD6B01">
            <w:pPr>
              <w:spacing w:after="200" w:line="276" w:lineRule="auto"/>
              <w:rPr>
                <w:rFonts w:asciiTheme="minorHAnsi" w:hAnsiTheme="minorHAnsi" w:cstheme="minorHAnsi"/>
                <w:lang w:val="en-GB"/>
              </w:rPr>
            </w:pPr>
            <w:r>
              <w:rPr>
                <w:rFonts w:asciiTheme="minorHAnsi" w:hAnsiTheme="minorHAnsi" w:cstheme="minorHAnsi"/>
                <w:lang w:val="en-GB"/>
              </w:rPr>
              <w:t>Before HE entry</w:t>
            </w:r>
          </w:p>
        </w:tc>
        <w:tc>
          <w:tcPr>
            <w:tcW w:w="1891"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1</w:t>
            </w:r>
          </w:p>
        </w:tc>
        <w:tc>
          <w:tcPr>
            <w:tcW w:w="1891"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4</w:t>
            </w:r>
          </w:p>
        </w:tc>
        <w:tc>
          <w:tcPr>
            <w:tcW w:w="1964"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7</w:t>
            </w:r>
          </w:p>
        </w:tc>
        <w:tc>
          <w:tcPr>
            <w:tcW w:w="1648"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10</w:t>
            </w:r>
          </w:p>
        </w:tc>
      </w:tr>
      <w:tr w:rsidR="00BD6B01" w:rsidTr="002760BB">
        <w:trPr>
          <w:cnfStyle w:val="000000010000"/>
        </w:trPr>
        <w:tc>
          <w:tcPr>
            <w:cnfStyle w:val="001000000000"/>
            <w:tcW w:w="1894" w:type="dxa"/>
          </w:tcPr>
          <w:p w:rsidR="00BD6B01" w:rsidRDefault="00BD6B01">
            <w:pPr>
              <w:spacing w:after="200" w:line="276" w:lineRule="auto"/>
              <w:rPr>
                <w:rFonts w:asciiTheme="minorHAnsi" w:hAnsiTheme="minorHAnsi" w:cstheme="minorHAnsi"/>
                <w:lang w:val="en-GB"/>
              </w:rPr>
            </w:pPr>
            <w:r>
              <w:rPr>
                <w:rFonts w:asciiTheme="minorHAnsi" w:hAnsiTheme="minorHAnsi" w:cstheme="minorHAnsi"/>
                <w:lang w:val="en-GB"/>
              </w:rPr>
              <w:t>At HE entry</w:t>
            </w:r>
          </w:p>
        </w:tc>
        <w:tc>
          <w:tcPr>
            <w:tcW w:w="1891" w:type="dxa"/>
            <w:vAlign w:val="center"/>
          </w:tcPr>
          <w:p w:rsidR="00BD6B01" w:rsidRDefault="00BD6B01" w:rsidP="002760BB">
            <w:pPr>
              <w:spacing w:after="200" w:line="276" w:lineRule="auto"/>
              <w:cnfStyle w:val="000000010000"/>
              <w:rPr>
                <w:rFonts w:asciiTheme="minorHAnsi" w:hAnsiTheme="minorHAnsi" w:cstheme="minorHAnsi"/>
                <w:lang w:val="en-GB"/>
              </w:rPr>
            </w:pPr>
            <w:r>
              <w:rPr>
                <w:rFonts w:asciiTheme="minorHAnsi" w:hAnsiTheme="minorHAnsi" w:cstheme="minorHAnsi"/>
                <w:lang w:val="en-GB"/>
              </w:rPr>
              <w:t>2</w:t>
            </w:r>
          </w:p>
        </w:tc>
        <w:tc>
          <w:tcPr>
            <w:tcW w:w="1891" w:type="dxa"/>
            <w:vAlign w:val="center"/>
          </w:tcPr>
          <w:p w:rsidR="00BD6B01" w:rsidRDefault="00BD6B01" w:rsidP="002760BB">
            <w:pPr>
              <w:spacing w:after="200" w:line="276" w:lineRule="auto"/>
              <w:cnfStyle w:val="000000010000"/>
              <w:rPr>
                <w:rFonts w:asciiTheme="minorHAnsi" w:hAnsiTheme="minorHAnsi" w:cstheme="minorHAnsi"/>
                <w:lang w:val="en-GB"/>
              </w:rPr>
            </w:pPr>
            <w:r>
              <w:rPr>
                <w:rFonts w:asciiTheme="minorHAnsi" w:hAnsiTheme="minorHAnsi" w:cstheme="minorHAnsi"/>
                <w:lang w:val="en-GB"/>
              </w:rPr>
              <w:t>5</w:t>
            </w:r>
          </w:p>
        </w:tc>
        <w:tc>
          <w:tcPr>
            <w:tcW w:w="1964" w:type="dxa"/>
            <w:vAlign w:val="center"/>
          </w:tcPr>
          <w:p w:rsidR="00BD6B01" w:rsidRDefault="00BD6B01" w:rsidP="002760BB">
            <w:pPr>
              <w:spacing w:after="200" w:line="276" w:lineRule="auto"/>
              <w:cnfStyle w:val="000000010000"/>
              <w:rPr>
                <w:rFonts w:asciiTheme="minorHAnsi" w:hAnsiTheme="minorHAnsi" w:cstheme="minorHAnsi"/>
                <w:lang w:val="en-GB"/>
              </w:rPr>
            </w:pPr>
            <w:r>
              <w:rPr>
                <w:rFonts w:asciiTheme="minorHAnsi" w:hAnsiTheme="minorHAnsi" w:cstheme="minorHAnsi"/>
                <w:lang w:val="en-GB"/>
              </w:rPr>
              <w:t>8</w:t>
            </w:r>
          </w:p>
        </w:tc>
        <w:tc>
          <w:tcPr>
            <w:tcW w:w="1648" w:type="dxa"/>
            <w:vAlign w:val="center"/>
          </w:tcPr>
          <w:p w:rsidR="00BD6B01" w:rsidRDefault="00BD6B01" w:rsidP="002760BB">
            <w:pPr>
              <w:spacing w:after="200" w:line="276" w:lineRule="auto"/>
              <w:cnfStyle w:val="000000010000"/>
              <w:rPr>
                <w:rFonts w:asciiTheme="minorHAnsi" w:hAnsiTheme="minorHAnsi" w:cstheme="minorHAnsi"/>
                <w:lang w:val="en-GB"/>
              </w:rPr>
            </w:pPr>
            <w:r>
              <w:rPr>
                <w:rFonts w:asciiTheme="minorHAnsi" w:hAnsiTheme="minorHAnsi" w:cstheme="minorHAnsi"/>
                <w:lang w:val="en-GB"/>
              </w:rPr>
              <w:t>11</w:t>
            </w:r>
          </w:p>
        </w:tc>
      </w:tr>
      <w:tr w:rsidR="00BD6B01" w:rsidTr="002760BB">
        <w:trPr>
          <w:cnfStyle w:val="000000100000"/>
        </w:trPr>
        <w:tc>
          <w:tcPr>
            <w:cnfStyle w:val="001000000000"/>
            <w:tcW w:w="1894" w:type="dxa"/>
          </w:tcPr>
          <w:p w:rsidR="00BD6B01" w:rsidRDefault="00BD6B01">
            <w:pPr>
              <w:spacing w:after="200" w:line="276" w:lineRule="auto"/>
              <w:rPr>
                <w:rFonts w:asciiTheme="minorHAnsi" w:hAnsiTheme="minorHAnsi" w:cstheme="minorHAnsi"/>
                <w:lang w:val="en-GB"/>
              </w:rPr>
            </w:pPr>
            <w:r>
              <w:rPr>
                <w:rFonts w:asciiTheme="minorHAnsi" w:hAnsiTheme="minorHAnsi" w:cstheme="minorHAnsi"/>
                <w:lang w:val="en-GB"/>
              </w:rPr>
              <w:t>During study progress</w:t>
            </w:r>
          </w:p>
        </w:tc>
        <w:tc>
          <w:tcPr>
            <w:tcW w:w="1891"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3</w:t>
            </w:r>
          </w:p>
        </w:tc>
        <w:tc>
          <w:tcPr>
            <w:tcW w:w="1891"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6</w:t>
            </w:r>
          </w:p>
        </w:tc>
        <w:tc>
          <w:tcPr>
            <w:tcW w:w="1964"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9</w:t>
            </w:r>
          </w:p>
        </w:tc>
        <w:tc>
          <w:tcPr>
            <w:tcW w:w="1648" w:type="dxa"/>
            <w:vAlign w:val="center"/>
          </w:tcPr>
          <w:p w:rsidR="00BD6B01" w:rsidRDefault="00BD6B01" w:rsidP="002760BB">
            <w:pPr>
              <w:spacing w:after="200" w:line="276" w:lineRule="auto"/>
              <w:cnfStyle w:val="000000100000"/>
              <w:rPr>
                <w:rFonts w:asciiTheme="minorHAnsi" w:hAnsiTheme="minorHAnsi" w:cstheme="minorHAnsi"/>
                <w:lang w:val="en-GB"/>
              </w:rPr>
            </w:pPr>
            <w:r>
              <w:rPr>
                <w:rFonts w:asciiTheme="minorHAnsi" w:hAnsiTheme="minorHAnsi" w:cstheme="minorHAnsi"/>
                <w:lang w:val="en-GB"/>
              </w:rPr>
              <w:t>12</w:t>
            </w:r>
          </w:p>
        </w:tc>
      </w:tr>
    </w:tbl>
    <w:p w:rsidR="00BD6B01" w:rsidRDefault="00BD6B01">
      <w:pPr>
        <w:spacing w:after="200" w:line="276" w:lineRule="auto"/>
        <w:rPr>
          <w:rFonts w:asciiTheme="minorHAnsi" w:hAnsiTheme="minorHAnsi" w:cstheme="minorHAnsi"/>
          <w:sz w:val="22"/>
          <w:szCs w:val="22"/>
          <w:lang w:val="en-GB"/>
        </w:rPr>
      </w:pPr>
    </w:p>
    <w:p w:rsidR="00CC13FF" w:rsidRDefault="00BD6B01">
      <w:pPr>
        <w:spacing w:after="200"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DE73CA">
        <w:rPr>
          <w:rFonts w:asciiTheme="minorHAnsi" w:hAnsiTheme="minorHAnsi" w:cstheme="minorHAnsi"/>
          <w:sz w:val="22"/>
          <w:szCs w:val="22"/>
          <w:lang w:val="en-GB"/>
        </w:rPr>
        <w:t>Examples related to the numbers in the cells above.</w:t>
      </w:r>
    </w:p>
    <w:p w:rsidR="00DE73CA" w:rsidRPr="004F5251" w:rsidRDefault="00DE73CA"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 xml:space="preserve">(1) Provision of information for pupils of secondary schooling on higher education (e.g. </w:t>
      </w:r>
      <w:r w:rsidR="004F5251" w:rsidRPr="004F5251">
        <w:rPr>
          <w:rFonts w:asciiTheme="minorHAnsi" w:hAnsiTheme="minorHAnsi" w:cstheme="minorHAnsi"/>
          <w:sz w:val="22"/>
          <w:szCs w:val="22"/>
          <w:lang w:val="en-GB"/>
        </w:rPr>
        <w:t>school liaison officers from universities in England/Wales)</w:t>
      </w:r>
    </w:p>
    <w:p w:rsidR="004F5251" w:rsidRP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(2) Provision of different routes into higher education with a more academic or vocational profile (e.g. different BAC’s in France). These might encourage pupils not definite about studying to obtain the entry qualification.</w:t>
      </w:r>
    </w:p>
    <w:p w:rsidR="004F5251" w:rsidRP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(3) The provision of special counselling services during the study programme, which also recognise the possible effects of change to personal circumstances on study progress.</w:t>
      </w:r>
    </w:p>
    <w:p w:rsidR="004F5251" w:rsidRDefault="004F5251">
      <w:pPr>
        <w:spacing w:after="200"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All of these initiatives could alternatively be targeted at student groups, which are typically disadvantaged (4, 5, </w:t>
      </w:r>
      <w:proofErr w:type="gramStart"/>
      <w:r>
        <w:rPr>
          <w:rFonts w:asciiTheme="minorHAnsi" w:hAnsiTheme="minorHAnsi" w:cstheme="minorHAnsi"/>
          <w:sz w:val="22"/>
          <w:szCs w:val="22"/>
          <w:lang w:val="en-GB"/>
        </w:rPr>
        <w:t>6</w:t>
      </w:r>
      <w:proofErr w:type="gramEnd"/>
      <w:r>
        <w:rPr>
          <w:rFonts w:asciiTheme="minorHAnsi" w:hAnsiTheme="minorHAnsi" w:cstheme="minorHAnsi"/>
          <w:sz w:val="22"/>
          <w:szCs w:val="22"/>
          <w:lang w:val="en-GB"/>
        </w:rPr>
        <w:t>). According to various analyses these are usually:</w:t>
      </w:r>
    </w:p>
    <w:p w:rsidR="004F5251" w:rsidRP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groups for lower socio-</w:t>
      </w:r>
      <w:proofErr w:type="spellStart"/>
      <w:r w:rsidRPr="004F5251">
        <w:rPr>
          <w:rFonts w:asciiTheme="minorHAnsi" w:hAnsiTheme="minorHAnsi" w:cstheme="minorHAnsi"/>
          <w:sz w:val="22"/>
          <w:szCs w:val="22"/>
          <w:lang w:val="en-GB"/>
        </w:rPr>
        <w:t>ecoomic</w:t>
      </w:r>
      <w:proofErr w:type="spellEnd"/>
      <w:r w:rsidRPr="004F5251">
        <w:rPr>
          <w:rFonts w:asciiTheme="minorHAnsi" w:hAnsiTheme="minorHAnsi" w:cstheme="minorHAnsi"/>
          <w:sz w:val="22"/>
          <w:szCs w:val="22"/>
          <w:lang w:val="en-GB"/>
        </w:rPr>
        <w:t xml:space="preserve"> backgrounds</w:t>
      </w:r>
    </w:p>
    <w:p w:rsidR="004F5251" w:rsidRP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(less educated) immigrants and cultural minorities</w:t>
      </w:r>
    </w:p>
    <w:p w:rsidR="004F5251" w:rsidRP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students with a disability</w:t>
      </w:r>
    </w:p>
    <w:p w:rsidR="004F5251" w:rsidRP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mature students</w:t>
      </w:r>
    </w:p>
    <w:p w:rsidR="004F5251" w:rsidRDefault="004F5251" w:rsidP="004F5251">
      <w:pPr>
        <w:pStyle w:val="Listenabsatz"/>
        <w:numPr>
          <w:ilvl w:val="0"/>
          <w:numId w:val="12"/>
        </w:numPr>
        <w:spacing w:after="200" w:line="276" w:lineRule="auto"/>
        <w:rPr>
          <w:rFonts w:asciiTheme="minorHAnsi" w:hAnsiTheme="minorHAnsi" w:cstheme="minorHAnsi"/>
          <w:sz w:val="22"/>
          <w:szCs w:val="22"/>
          <w:lang w:val="en-GB"/>
        </w:rPr>
      </w:pPr>
      <w:r w:rsidRPr="004F5251">
        <w:rPr>
          <w:rFonts w:asciiTheme="minorHAnsi" w:hAnsiTheme="minorHAnsi" w:cstheme="minorHAnsi"/>
          <w:sz w:val="22"/>
          <w:szCs w:val="22"/>
          <w:lang w:val="en-GB"/>
        </w:rPr>
        <w:t>(in some cases) different genders</w:t>
      </w:r>
    </w:p>
    <w:p w:rsidR="004F5251" w:rsidRDefault="004F5251" w:rsidP="004F5251">
      <w:pPr>
        <w:spacing w:after="200" w:line="276" w:lineRule="auto"/>
        <w:rPr>
          <w:rFonts w:asciiTheme="minorHAnsi" w:hAnsiTheme="minorHAnsi" w:cstheme="minorHAnsi"/>
          <w:sz w:val="22"/>
          <w:szCs w:val="22"/>
          <w:lang w:val="en-GB"/>
        </w:rPr>
      </w:pPr>
      <w:r>
        <w:rPr>
          <w:rFonts w:asciiTheme="minorHAnsi" w:hAnsiTheme="minorHAnsi" w:cstheme="minorHAnsi"/>
          <w:sz w:val="22"/>
          <w:szCs w:val="22"/>
          <w:lang w:val="en-GB"/>
        </w:rPr>
        <w:t>A further way of supporting students is indirectly via their place of study. An example would be providing extra state funding for study places for students from under-represented groups (</w:t>
      </w:r>
      <w:r w:rsidR="006D20EA">
        <w:rPr>
          <w:rFonts w:asciiTheme="minorHAnsi" w:hAnsiTheme="minorHAnsi" w:cstheme="minorHAnsi"/>
          <w:sz w:val="22"/>
          <w:szCs w:val="22"/>
          <w:lang w:val="en-GB"/>
        </w:rPr>
        <w:t xml:space="preserve">8, </w:t>
      </w:r>
      <w:r>
        <w:rPr>
          <w:rFonts w:asciiTheme="minorHAnsi" w:hAnsiTheme="minorHAnsi" w:cstheme="minorHAnsi"/>
          <w:sz w:val="22"/>
          <w:szCs w:val="22"/>
          <w:lang w:val="en-GB"/>
        </w:rPr>
        <w:t xml:space="preserve">9). </w:t>
      </w:r>
    </w:p>
    <w:p w:rsidR="004F5251" w:rsidRDefault="006D20EA" w:rsidP="004F5251">
      <w:pPr>
        <w:spacing w:after="200"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This type of cataloguing and sorting initiatives will be a first step towards facilitating peer learning. The third activity above, which envisages country evaluations by expert </w:t>
      </w:r>
      <w:proofErr w:type="gramStart"/>
      <w:r>
        <w:rPr>
          <w:rFonts w:asciiTheme="minorHAnsi" w:hAnsiTheme="minorHAnsi" w:cstheme="minorHAnsi"/>
          <w:sz w:val="22"/>
          <w:szCs w:val="22"/>
          <w:lang w:val="en-GB"/>
        </w:rPr>
        <w:t>team</w:t>
      </w:r>
      <w:proofErr w:type="gramEnd"/>
      <w:r>
        <w:rPr>
          <w:rFonts w:asciiTheme="minorHAnsi" w:hAnsiTheme="minorHAnsi" w:cstheme="minorHAnsi"/>
          <w:sz w:val="22"/>
          <w:szCs w:val="22"/>
          <w:lang w:val="en-GB"/>
        </w:rPr>
        <w:t xml:space="preserve"> is designed to encourage the “virtuous cycle” between systematic analysis and policy improvement.</w:t>
      </w:r>
    </w:p>
    <w:p w:rsidR="004F5251" w:rsidRPr="004F5251" w:rsidRDefault="004F5251" w:rsidP="004F5251">
      <w:pPr>
        <w:spacing w:after="200" w:line="276" w:lineRule="auto"/>
        <w:rPr>
          <w:rFonts w:asciiTheme="minorHAnsi" w:hAnsiTheme="minorHAnsi" w:cstheme="minorHAnsi"/>
          <w:sz w:val="22"/>
          <w:szCs w:val="22"/>
          <w:lang w:val="en-GB"/>
        </w:rPr>
      </w:pPr>
    </w:p>
    <w:p w:rsidR="006D20EA" w:rsidRDefault="006D20EA" w:rsidP="00A14553">
      <w:pPr>
        <w:rPr>
          <w:rFonts w:asciiTheme="minorHAnsi" w:hAnsiTheme="minorHAnsi" w:cstheme="minorHAnsi"/>
          <w:b/>
          <w:sz w:val="28"/>
          <w:szCs w:val="28"/>
          <w:lang w:val="en-GB"/>
        </w:rPr>
      </w:pPr>
    </w:p>
    <w:p w:rsidR="006D20EA" w:rsidRDefault="006D20EA" w:rsidP="00A14553">
      <w:pPr>
        <w:rPr>
          <w:rFonts w:asciiTheme="minorHAnsi" w:hAnsiTheme="minorHAnsi" w:cstheme="minorHAnsi"/>
          <w:b/>
          <w:sz w:val="28"/>
          <w:szCs w:val="28"/>
          <w:lang w:val="en-GB"/>
        </w:rPr>
      </w:pPr>
    </w:p>
    <w:p w:rsidR="00954B7B" w:rsidRPr="005C3151" w:rsidRDefault="00954B7B" w:rsidP="006D20EA">
      <w:pPr>
        <w:pStyle w:val="Listenabsatz"/>
        <w:numPr>
          <w:ilvl w:val="0"/>
          <w:numId w:val="8"/>
        </w:numPr>
        <w:rPr>
          <w:rFonts w:asciiTheme="minorHAnsi" w:hAnsiTheme="minorHAnsi" w:cstheme="minorHAnsi"/>
          <w:b/>
          <w:sz w:val="28"/>
          <w:szCs w:val="28"/>
          <w:lang w:val="en-GB"/>
        </w:rPr>
      </w:pPr>
      <w:r w:rsidRPr="005C3151">
        <w:rPr>
          <w:rFonts w:asciiTheme="minorHAnsi" w:hAnsiTheme="minorHAnsi" w:cstheme="minorHAnsi"/>
          <w:b/>
          <w:sz w:val="28"/>
          <w:szCs w:val="28"/>
          <w:lang w:val="en-GB"/>
        </w:rPr>
        <w:lastRenderedPageBreak/>
        <w:t>Funding</w:t>
      </w:r>
      <w:r w:rsidR="00CC13FF" w:rsidRPr="005C3151">
        <w:rPr>
          <w:rFonts w:asciiTheme="minorHAnsi" w:hAnsiTheme="minorHAnsi" w:cstheme="minorHAnsi"/>
          <w:b/>
          <w:sz w:val="28"/>
          <w:szCs w:val="28"/>
          <w:lang w:val="en-GB"/>
        </w:rPr>
        <w:t xml:space="preserve"> and start-up project</w:t>
      </w:r>
    </w:p>
    <w:p w:rsidR="00CC13FF" w:rsidRPr="005C3151" w:rsidRDefault="00954B7B" w:rsidP="00CC13FF">
      <w:pPr>
        <w:pStyle w:val="Listenabsatz"/>
        <w:numPr>
          <w:ilvl w:val="0"/>
          <w:numId w:val="7"/>
        </w:numPr>
        <w:rPr>
          <w:rFonts w:asciiTheme="minorHAnsi" w:hAnsiTheme="minorHAnsi" w:cstheme="minorHAnsi"/>
          <w:sz w:val="22"/>
          <w:szCs w:val="22"/>
          <w:lang w:val="en-GB"/>
        </w:rPr>
      </w:pPr>
      <w:r w:rsidRPr="005C3151">
        <w:rPr>
          <w:rFonts w:asciiTheme="minorHAnsi" w:hAnsiTheme="minorHAnsi" w:cstheme="minorHAnsi"/>
          <w:sz w:val="22"/>
          <w:szCs w:val="22"/>
          <w:lang w:val="en-GB"/>
        </w:rPr>
        <w:t>A project could be formulated with the above goals and objectives, which would be funding using the LLP KA4 Valorisation funding stream.</w:t>
      </w:r>
      <w:r w:rsidR="00CC13FF" w:rsidRPr="005C3151">
        <w:rPr>
          <w:rStyle w:val="Funotenzeichen"/>
          <w:rFonts w:asciiTheme="minorHAnsi" w:hAnsiTheme="minorHAnsi" w:cstheme="minorHAnsi"/>
          <w:sz w:val="22"/>
          <w:szCs w:val="22"/>
          <w:lang w:val="en-GB"/>
        </w:rPr>
        <w:footnoteReference w:id="4"/>
      </w:r>
    </w:p>
    <w:p w:rsidR="00954B7B" w:rsidRPr="005C3151" w:rsidRDefault="00954B7B" w:rsidP="00CC13FF">
      <w:pPr>
        <w:pStyle w:val="Listenabsatz"/>
        <w:numPr>
          <w:ilvl w:val="0"/>
          <w:numId w:val="7"/>
        </w:num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The project could be organized to run for </w:t>
      </w:r>
      <w:proofErr w:type="gramStart"/>
      <w:r w:rsidRPr="005C3151">
        <w:rPr>
          <w:rFonts w:asciiTheme="minorHAnsi" w:hAnsiTheme="minorHAnsi" w:cstheme="minorHAnsi"/>
          <w:sz w:val="22"/>
          <w:szCs w:val="22"/>
          <w:lang w:val="en-GB"/>
        </w:rPr>
        <w:t>a duration</w:t>
      </w:r>
      <w:proofErr w:type="gramEnd"/>
      <w:r w:rsidRPr="005C3151">
        <w:rPr>
          <w:rFonts w:asciiTheme="minorHAnsi" w:hAnsiTheme="minorHAnsi" w:cstheme="minorHAnsi"/>
          <w:sz w:val="22"/>
          <w:szCs w:val="22"/>
          <w:lang w:val="en-GB"/>
        </w:rPr>
        <w:t xml:space="preserve"> of 2 or (preferably 3) years. </w:t>
      </w:r>
    </w:p>
    <w:p w:rsidR="00200975" w:rsidRPr="005C3151" w:rsidRDefault="00200975" w:rsidP="00CC13FF">
      <w:pPr>
        <w:pStyle w:val="Listenabsatz"/>
        <w:numPr>
          <w:ilvl w:val="0"/>
          <w:numId w:val="7"/>
        </w:numPr>
        <w:rPr>
          <w:rFonts w:asciiTheme="minorHAnsi" w:hAnsiTheme="minorHAnsi" w:cstheme="minorHAnsi"/>
          <w:sz w:val="22"/>
          <w:szCs w:val="22"/>
          <w:lang w:val="en-GB"/>
        </w:rPr>
      </w:pPr>
      <w:r w:rsidRPr="005C3151">
        <w:rPr>
          <w:rFonts w:asciiTheme="minorHAnsi" w:hAnsiTheme="minorHAnsi" w:cstheme="minorHAnsi"/>
          <w:sz w:val="22"/>
          <w:szCs w:val="22"/>
          <w:lang w:val="en-GB"/>
        </w:rPr>
        <w:t>Deadline for project submission: 31.3.2011</w:t>
      </w:r>
    </w:p>
    <w:p w:rsidR="00CC13FF" w:rsidRPr="005C3151" w:rsidRDefault="00CC13FF" w:rsidP="00954B7B">
      <w:pPr>
        <w:rPr>
          <w:rFonts w:asciiTheme="minorHAnsi" w:hAnsiTheme="minorHAnsi" w:cstheme="minorHAnsi"/>
          <w:sz w:val="22"/>
          <w:szCs w:val="22"/>
          <w:lang w:val="en-GB"/>
        </w:rPr>
      </w:pPr>
    </w:p>
    <w:p w:rsidR="00CC13FF" w:rsidRPr="005C3151" w:rsidRDefault="00CC13FF" w:rsidP="00954B7B">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This project could entail setting up the infrastructure, carrying out tasks 1 (monitoring) and 2 (collection) and for task 3 (review) offering up to 4 countries a free country review, with the costs covered fully by the project. </w:t>
      </w:r>
    </w:p>
    <w:p w:rsidR="00CC13FF" w:rsidRPr="005C3151" w:rsidRDefault="00CC13FF" w:rsidP="00954B7B">
      <w:pPr>
        <w:rPr>
          <w:rFonts w:asciiTheme="minorHAnsi" w:hAnsiTheme="minorHAnsi" w:cstheme="minorHAnsi"/>
          <w:sz w:val="22"/>
          <w:szCs w:val="22"/>
          <w:lang w:val="en-GB"/>
        </w:rPr>
      </w:pPr>
    </w:p>
    <w:p w:rsidR="00CC13FF" w:rsidRPr="005C3151" w:rsidRDefault="00CC13FF" w:rsidP="00954B7B">
      <w:pPr>
        <w:rPr>
          <w:rFonts w:asciiTheme="minorHAnsi" w:hAnsiTheme="minorHAnsi" w:cstheme="minorHAnsi"/>
          <w:sz w:val="22"/>
          <w:szCs w:val="22"/>
          <w:lang w:val="en-GB"/>
        </w:rPr>
      </w:pPr>
      <w:r w:rsidRPr="005C3151">
        <w:rPr>
          <w:rFonts w:asciiTheme="minorHAnsi" w:hAnsiTheme="minorHAnsi" w:cstheme="minorHAnsi"/>
          <w:sz w:val="22"/>
          <w:szCs w:val="22"/>
          <w:lang w:val="en-GB"/>
        </w:rPr>
        <w:t>The project would become sustainable, if the reviews are viewed as so valuable that countries are prepared to pay for them. This may occur within the project’s lifetime or afterwards.</w:t>
      </w:r>
    </w:p>
    <w:p w:rsidR="00200975" w:rsidRPr="005C3151" w:rsidRDefault="00200975" w:rsidP="00954B7B">
      <w:pPr>
        <w:rPr>
          <w:rFonts w:asciiTheme="minorHAnsi" w:hAnsiTheme="minorHAnsi" w:cstheme="minorHAnsi"/>
          <w:sz w:val="22"/>
          <w:szCs w:val="22"/>
          <w:lang w:val="en-GB"/>
        </w:rPr>
      </w:pPr>
    </w:p>
    <w:p w:rsidR="00200975" w:rsidRPr="005C3151" w:rsidRDefault="00200975" w:rsidP="006D20EA">
      <w:pPr>
        <w:pStyle w:val="Listenabsatz"/>
        <w:numPr>
          <w:ilvl w:val="0"/>
          <w:numId w:val="8"/>
        </w:numPr>
        <w:rPr>
          <w:rFonts w:asciiTheme="minorHAnsi" w:hAnsiTheme="minorHAnsi" w:cstheme="minorHAnsi"/>
          <w:b/>
          <w:sz w:val="28"/>
          <w:szCs w:val="28"/>
          <w:lang w:val="en-GB"/>
        </w:rPr>
      </w:pPr>
      <w:r w:rsidRPr="005C3151">
        <w:rPr>
          <w:rFonts w:asciiTheme="minorHAnsi" w:hAnsiTheme="minorHAnsi" w:cstheme="minorHAnsi"/>
          <w:b/>
          <w:sz w:val="28"/>
          <w:szCs w:val="28"/>
          <w:lang w:val="en-GB"/>
        </w:rPr>
        <w:t>Consortium</w:t>
      </w:r>
    </w:p>
    <w:p w:rsidR="00200975" w:rsidRPr="005C3151" w:rsidRDefault="00200975" w:rsidP="00954B7B">
      <w:pPr>
        <w:rPr>
          <w:rFonts w:asciiTheme="minorHAnsi" w:hAnsiTheme="minorHAnsi" w:cstheme="minorHAnsi"/>
          <w:sz w:val="22"/>
          <w:szCs w:val="22"/>
          <w:lang w:val="en-GB"/>
        </w:rPr>
      </w:pPr>
      <w:r w:rsidRPr="005C3151">
        <w:rPr>
          <w:rFonts w:asciiTheme="minorHAnsi" w:hAnsiTheme="minorHAnsi" w:cstheme="minorHAnsi"/>
          <w:sz w:val="22"/>
          <w:szCs w:val="22"/>
          <w:lang w:val="en-GB"/>
        </w:rPr>
        <w:t>We would like to involve the expertise of people within the EUROSTUDENT Network to set this up:</w:t>
      </w:r>
    </w:p>
    <w:p w:rsidR="00200975" w:rsidRPr="005C3151" w:rsidRDefault="00200975" w:rsidP="00200975">
      <w:pPr>
        <w:pStyle w:val="Listenabsatz"/>
        <w:numPr>
          <w:ilvl w:val="0"/>
          <w:numId w:val="6"/>
        </w:numPr>
        <w:rPr>
          <w:rFonts w:asciiTheme="minorHAnsi" w:hAnsiTheme="minorHAnsi" w:cstheme="minorHAnsi"/>
          <w:sz w:val="22"/>
          <w:szCs w:val="22"/>
          <w:lang w:val="en-GB"/>
        </w:rPr>
      </w:pPr>
      <w:r w:rsidRPr="005C3151">
        <w:rPr>
          <w:rFonts w:asciiTheme="minorHAnsi" w:hAnsiTheme="minorHAnsi" w:cstheme="minorHAnsi"/>
          <w:sz w:val="22"/>
          <w:szCs w:val="22"/>
          <w:lang w:val="en-GB"/>
        </w:rPr>
        <w:t>Dominic Orr, HIS-Institute for Research on Higher Education and international coordinator for EUROSTUDENT</w:t>
      </w:r>
    </w:p>
    <w:p w:rsidR="00200975" w:rsidRPr="005C3151" w:rsidRDefault="00200975" w:rsidP="00200975">
      <w:pPr>
        <w:pStyle w:val="Listenabsatz"/>
        <w:numPr>
          <w:ilvl w:val="0"/>
          <w:numId w:val="6"/>
        </w:numPr>
        <w:rPr>
          <w:rFonts w:asciiTheme="minorHAnsi" w:hAnsiTheme="minorHAnsi" w:cstheme="minorHAnsi"/>
          <w:sz w:val="22"/>
          <w:szCs w:val="22"/>
          <w:lang w:val="en-GB"/>
        </w:rPr>
      </w:pPr>
      <w:r w:rsidRPr="005C3151">
        <w:rPr>
          <w:rFonts w:asciiTheme="minorHAnsi" w:hAnsiTheme="minorHAnsi" w:cstheme="minorHAnsi"/>
          <w:sz w:val="22"/>
          <w:szCs w:val="22"/>
          <w:lang w:val="en-GB"/>
        </w:rPr>
        <w:t>Martin Unger, Institute for Higher Studies (HIS), Austria and lead researcher for EUROSTUDENT</w:t>
      </w:r>
    </w:p>
    <w:p w:rsidR="00200975" w:rsidRPr="005C3151" w:rsidRDefault="00200975" w:rsidP="00200975">
      <w:pPr>
        <w:pStyle w:val="Listenabsatz"/>
        <w:numPr>
          <w:ilvl w:val="0"/>
          <w:numId w:val="6"/>
        </w:num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Natia </w:t>
      </w:r>
      <w:proofErr w:type="spellStart"/>
      <w:r w:rsidRPr="005C3151">
        <w:rPr>
          <w:rFonts w:asciiTheme="minorHAnsi" w:hAnsiTheme="minorHAnsi" w:cstheme="minorHAnsi"/>
          <w:sz w:val="22"/>
          <w:szCs w:val="22"/>
          <w:lang w:val="en-GB"/>
        </w:rPr>
        <w:t>Andguladza</w:t>
      </w:r>
      <w:proofErr w:type="spellEnd"/>
      <w:r w:rsidRPr="005C3151">
        <w:rPr>
          <w:rFonts w:asciiTheme="minorHAnsi" w:hAnsiTheme="minorHAnsi" w:cstheme="minorHAnsi"/>
          <w:sz w:val="22"/>
          <w:szCs w:val="22"/>
          <w:lang w:val="en-GB"/>
        </w:rPr>
        <w:t xml:space="preserve">, </w:t>
      </w:r>
      <w:proofErr w:type="spellStart"/>
      <w:r w:rsidRPr="005C3151">
        <w:rPr>
          <w:rFonts w:asciiTheme="minorHAnsi" w:hAnsiTheme="minorHAnsi" w:cstheme="minorHAnsi"/>
          <w:sz w:val="22"/>
          <w:szCs w:val="22"/>
          <w:lang w:val="en-GB"/>
        </w:rPr>
        <w:t>Ilia</w:t>
      </w:r>
      <w:proofErr w:type="spellEnd"/>
      <w:r w:rsidRPr="005C3151">
        <w:rPr>
          <w:rFonts w:asciiTheme="minorHAnsi" w:hAnsiTheme="minorHAnsi" w:cstheme="minorHAnsi"/>
          <w:sz w:val="22"/>
          <w:szCs w:val="22"/>
          <w:lang w:val="en-GB"/>
        </w:rPr>
        <w:t xml:space="preserve"> State University, Georgia, asst. professor and former head of research at the Georgian Ministry of Research</w:t>
      </w:r>
    </w:p>
    <w:p w:rsidR="00200975" w:rsidRPr="005C3151" w:rsidRDefault="00200975" w:rsidP="00200975">
      <w:pPr>
        <w:rPr>
          <w:rFonts w:asciiTheme="minorHAnsi" w:hAnsiTheme="minorHAnsi" w:cstheme="minorHAnsi"/>
          <w:sz w:val="22"/>
          <w:szCs w:val="22"/>
          <w:lang w:val="en-GB"/>
        </w:rPr>
      </w:pPr>
    </w:p>
    <w:p w:rsidR="00200975" w:rsidRPr="005C3151" w:rsidRDefault="00200975" w:rsidP="00200975">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We would also like to involve members of the current working group on the social dimension of higher education. </w:t>
      </w:r>
    </w:p>
    <w:p w:rsidR="00200975" w:rsidRPr="005C3151" w:rsidRDefault="00200975" w:rsidP="00200975">
      <w:pPr>
        <w:rPr>
          <w:rFonts w:asciiTheme="minorHAnsi" w:hAnsiTheme="minorHAnsi" w:cstheme="minorHAnsi"/>
          <w:sz w:val="22"/>
          <w:szCs w:val="22"/>
          <w:lang w:val="en-GB"/>
        </w:rPr>
      </w:pPr>
    </w:p>
    <w:p w:rsidR="00200975" w:rsidRPr="005C3151" w:rsidRDefault="00200975" w:rsidP="00200975">
      <w:pPr>
        <w:rPr>
          <w:rFonts w:asciiTheme="minorHAnsi" w:hAnsiTheme="minorHAnsi" w:cstheme="minorHAnsi"/>
          <w:sz w:val="22"/>
          <w:szCs w:val="22"/>
          <w:lang w:val="en-GB"/>
        </w:rPr>
      </w:pPr>
      <w:r w:rsidRPr="005C3151">
        <w:rPr>
          <w:rFonts w:asciiTheme="minorHAnsi" w:hAnsiTheme="minorHAnsi" w:cstheme="minorHAnsi"/>
          <w:sz w:val="22"/>
          <w:szCs w:val="22"/>
          <w:lang w:val="en-GB"/>
        </w:rPr>
        <w:t xml:space="preserve">It would also be important to receive the endorsement of the Bologna Secretariat and the working group for this proposal. </w:t>
      </w:r>
    </w:p>
    <w:p w:rsidR="00200975" w:rsidRPr="005C3151" w:rsidRDefault="00200975" w:rsidP="00200975">
      <w:pPr>
        <w:rPr>
          <w:sz w:val="22"/>
          <w:szCs w:val="22"/>
          <w:lang w:val="en-GB"/>
        </w:rPr>
      </w:pPr>
    </w:p>
    <w:p w:rsidR="00200975" w:rsidRPr="005C3151" w:rsidRDefault="00200975" w:rsidP="00200975">
      <w:pPr>
        <w:rPr>
          <w:sz w:val="22"/>
          <w:szCs w:val="22"/>
          <w:lang w:val="en-GB"/>
        </w:rPr>
      </w:pPr>
    </w:p>
    <w:p w:rsidR="00A14553" w:rsidRPr="005C3151" w:rsidRDefault="00A14553" w:rsidP="00A14553">
      <w:pPr>
        <w:rPr>
          <w:rFonts w:asciiTheme="minorHAnsi" w:hAnsiTheme="minorHAnsi" w:cstheme="minorHAnsi"/>
          <w:sz w:val="22"/>
          <w:szCs w:val="22"/>
          <w:lang w:val="en-GB"/>
        </w:rPr>
      </w:pPr>
    </w:p>
    <w:p w:rsidR="00A14553" w:rsidRPr="005C3151" w:rsidRDefault="00A14553" w:rsidP="00A14553">
      <w:pPr>
        <w:rPr>
          <w:rFonts w:asciiTheme="minorHAnsi" w:hAnsiTheme="minorHAnsi" w:cstheme="minorHAnsi"/>
          <w:sz w:val="22"/>
          <w:szCs w:val="22"/>
          <w:lang w:val="en-GB"/>
        </w:rPr>
      </w:pPr>
    </w:p>
    <w:p w:rsidR="00A14553" w:rsidRPr="005C3151" w:rsidRDefault="00A14553" w:rsidP="00A14553">
      <w:pPr>
        <w:rPr>
          <w:rFonts w:asciiTheme="minorHAnsi" w:hAnsiTheme="minorHAnsi" w:cstheme="minorHAnsi"/>
          <w:sz w:val="22"/>
          <w:szCs w:val="22"/>
          <w:lang w:val="en-GB"/>
        </w:rPr>
      </w:pPr>
    </w:p>
    <w:sectPr w:rsidR="00A14553" w:rsidRPr="005C3151" w:rsidSect="0044616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251" w:rsidRDefault="004F5251" w:rsidP="007C46DE">
      <w:r>
        <w:separator/>
      </w:r>
    </w:p>
  </w:endnote>
  <w:endnote w:type="continuationSeparator" w:id="0">
    <w:p w:rsidR="004F5251" w:rsidRDefault="004F5251" w:rsidP="007C46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251" w:rsidRPr="007C46DE" w:rsidRDefault="004F5251" w:rsidP="007C46DE">
    <w:pPr>
      <w:pStyle w:val="Fuzeile"/>
      <w:tabs>
        <w:tab w:val="left" w:pos="3140"/>
      </w:tabs>
      <w:rPr>
        <w:rFonts w:ascii="Calibri" w:hAnsi="Calibri"/>
        <w:sz w:val="16"/>
        <w:szCs w:val="16"/>
      </w:rPr>
    </w:pPr>
    <w:r>
      <w:rPr>
        <w:rFonts w:ascii="Calibri" w:hAnsi="Calibri"/>
        <w:sz w:val="16"/>
        <w:szCs w:val="16"/>
      </w:rPr>
      <w:tab/>
    </w:r>
    <w:r>
      <w:rPr>
        <w:rFonts w:ascii="Calibri" w:hAnsi="Calibri"/>
        <w:sz w:val="16"/>
        <w:szCs w:val="16"/>
      </w:rPr>
      <w:tab/>
    </w:r>
    <w:r w:rsidRPr="00976BEE">
      <w:rPr>
        <w:rFonts w:ascii="Calibri" w:hAnsi="Calibri"/>
        <w:sz w:val="16"/>
        <w:szCs w:val="16"/>
      </w:rPr>
      <w:fldChar w:fldCharType="begin"/>
    </w:r>
    <w:r w:rsidRPr="00976BEE">
      <w:rPr>
        <w:rFonts w:ascii="Calibri" w:hAnsi="Calibri"/>
        <w:sz w:val="16"/>
        <w:szCs w:val="16"/>
      </w:rPr>
      <w:instrText xml:space="preserve"> FILENAME </w:instrText>
    </w:r>
    <w:r w:rsidRPr="00976BEE">
      <w:rPr>
        <w:rFonts w:ascii="Calibri" w:hAnsi="Calibri"/>
        <w:sz w:val="16"/>
        <w:szCs w:val="16"/>
      </w:rPr>
      <w:fldChar w:fldCharType="separate"/>
    </w:r>
    <w:r>
      <w:rPr>
        <w:rFonts w:ascii="Calibri" w:hAnsi="Calibri"/>
        <w:noProof/>
        <w:sz w:val="16"/>
        <w:szCs w:val="16"/>
      </w:rPr>
      <w:t>Sketch EOSDHE_140211</w:t>
    </w:r>
    <w:r w:rsidRPr="00976BEE">
      <w:rPr>
        <w:rFonts w:ascii="Calibri" w:hAnsi="Calibr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251" w:rsidRDefault="004F5251" w:rsidP="007C46DE">
      <w:r>
        <w:separator/>
      </w:r>
    </w:p>
  </w:footnote>
  <w:footnote w:type="continuationSeparator" w:id="0">
    <w:p w:rsidR="004F5251" w:rsidRDefault="004F5251" w:rsidP="007C46DE">
      <w:r>
        <w:continuationSeparator/>
      </w:r>
    </w:p>
  </w:footnote>
  <w:footnote w:id="1">
    <w:p w:rsidR="004F5251" w:rsidRPr="00FC4438" w:rsidRDefault="004F5251" w:rsidP="00FC4438">
      <w:pPr>
        <w:pStyle w:val="Funotentext"/>
        <w:rPr>
          <w:rFonts w:asciiTheme="minorHAnsi" w:hAnsiTheme="minorHAnsi" w:cstheme="minorHAnsi"/>
          <w:sz w:val="18"/>
          <w:szCs w:val="18"/>
          <w:lang w:val="en-US"/>
        </w:rPr>
      </w:pPr>
      <w:r w:rsidRPr="00FC4438">
        <w:rPr>
          <w:rStyle w:val="Funotenzeichen"/>
          <w:rFonts w:asciiTheme="minorHAnsi" w:hAnsiTheme="minorHAnsi" w:cstheme="minorHAnsi"/>
          <w:sz w:val="18"/>
          <w:szCs w:val="18"/>
        </w:rPr>
        <w:footnoteRef/>
      </w:r>
      <w:r w:rsidRPr="00FC4438">
        <w:rPr>
          <w:rFonts w:asciiTheme="minorHAnsi" w:hAnsiTheme="minorHAnsi" w:cstheme="minorHAnsi"/>
          <w:sz w:val="18"/>
          <w:szCs w:val="18"/>
          <w:lang w:val="en-US"/>
        </w:rPr>
        <w:t xml:space="preserve"> Council conclusions on the social dimension of education and training 3013th Education, Youth and Culture Council meeting, Brussels, 11 May 2010</w:t>
      </w:r>
    </w:p>
  </w:footnote>
  <w:footnote w:id="2">
    <w:p w:rsidR="004F5251" w:rsidRPr="00FC4438" w:rsidRDefault="004F5251" w:rsidP="00FC4438">
      <w:pPr>
        <w:pStyle w:val="Funotentext"/>
        <w:rPr>
          <w:rFonts w:asciiTheme="minorHAnsi" w:hAnsiTheme="minorHAnsi" w:cstheme="minorHAnsi"/>
          <w:sz w:val="18"/>
          <w:szCs w:val="18"/>
          <w:lang w:val="en-US"/>
        </w:rPr>
      </w:pPr>
      <w:r w:rsidRPr="00FC4438">
        <w:rPr>
          <w:rStyle w:val="Funotenzeichen"/>
          <w:rFonts w:asciiTheme="minorHAnsi" w:hAnsiTheme="minorHAnsi" w:cstheme="minorHAnsi"/>
          <w:sz w:val="18"/>
          <w:szCs w:val="18"/>
        </w:rPr>
        <w:footnoteRef/>
      </w:r>
      <w:r w:rsidRPr="00FC4438">
        <w:rPr>
          <w:rFonts w:asciiTheme="minorHAnsi" w:hAnsiTheme="minorHAnsi" w:cstheme="minorHAnsi"/>
          <w:sz w:val="18"/>
          <w:szCs w:val="18"/>
          <w:lang w:val="en-US"/>
        </w:rPr>
        <w:t xml:space="preserve"> The Bologna Process 2020 - The European Higher Education Area in the new decade – Communiqué of the Conference of European Ministers Responsible for Higher Education, Leuven and Louvain-la-</w:t>
      </w:r>
      <w:proofErr w:type="spellStart"/>
      <w:r w:rsidRPr="00FC4438">
        <w:rPr>
          <w:rFonts w:asciiTheme="minorHAnsi" w:hAnsiTheme="minorHAnsi" w:cstheme="minorHAnsi"/>
          <w:sz w:val="18"/>
          <w:szCs w:val="18"/>
          <w:lang w:val="en-US"/>
        </w:rPr>
        <w:t>Neuve</w:t>
      </w:r>
      <w:proofErr w:type="spellEnd"/>
      <w:r w:rsidRPr="00FC4438">
        <w:rPr>
          <w:rFonts w:asciiTheme="minorHAnsi" w:hAnsiTheme="minorHAnsi" w:cstheme="minorHAnsi"/>
          <w:sz w:val="18"/>
          <w:szCs w:val="18"/>
          <w:lang w:val="en-US"/>
        </w:rPr>
        <w:t>, 28-29 April 2009</w:t>
      </w:r>
    </w:p>
  </w:footnote>
  <w:footnote w:id="3">
    <w:p w:rsidR="004F5251" w:rsidRPr="00FC4438" w:rsidRDefault="004F5251" w:rsidP="00FC4438">
      <w:pPr>
        <w:pStyle w:val="Funotentext"/>
        <w:rPr>
          <w:rFonts w:asciiTheme="minorHAnsi" w:hAnsiTheme="minorHAnsi" w:cstheme="minorHAnsi"/>
          <w:sz w:val="18"/>
          <w:szCs w:val="18"/>
          <w:lang w:val="en-US"/>
        </w:rPr>
      </w:pPr>
      <w:r w:rsidRPr="00FC4438">
        <w:rPr>
          <w:rStyle w:val="Funotenzeichen"/>
          <w:rFonts w:asciiTheme="minorHAnsi" w:hAnsiTheme="minorHAnsi" w:cstheme="minorHAnsi"/>
          <w:sz w:val="18"/>
          <w:szCs w:val="18"/>
        </w:rPr>
        <w:footnoteRef/>
      </w:r>
      <w:r w:rsidRPr="00FC4438">
        <w:rPr>
          <w:rFonts w:asciiTheme="minorHAnsi" w:hAnsiTheme="minorHAnsi" w:cstheme="minorHAnsi"/>
          <w:sz w:val="18"/>
          <w:szCs w:val="18"/>
          <w:lang w:val="en-US"/>
        </w:rPr>
        <w:t xml:space="preserve"> Bologna Process Stocktaking Report 2009 - Report from working groups appointed by the Bologna Follow-up Group to the Ministerial Conference in Leuven/Louvain-la-</w:t>
      </w:r>
      <w:proofErr w:type="spellStart"/>
      <w:r w:rsidRPr="00FC4438">
        <w:rPr>
          <w:rFonts w:asciiTheme="minorHAnsi" w:hAnsiTheme="minorHAnsi" w:cstheme="minorHAnsi"/>
          <w:sz w:val="18"/>
          <w:szCs w:val="18"/>
          <w:lang w:val="en-US"/>
        </w:rPr>
        <w:t>Neuve</w:t>
      </w:r>
      <w:proofErr w:type="spellEnd"/>
      <w:r w:rsidRPr="00FC4438">
        <w:rPr>
          <w:rFonts w:asciiTheme="minorHAnsi" w:hAnsiTheme="minorHAnsi" w:cstheme="minorHAnsi"/>
          <w:sz w:val="18"/>
          <w:szCs w:val="18"/>
          <w:lang w:val="en-US"/>
        </w:rPr>
        <w:t xml:space="preserve"> 28-29 April 2009</w:t>
      </w:r>
    </w:p>
  </w:footnote>
  <w:footnote w:id="4">
    <w:p w:rsidR="004F5251" w:rsidRPr="00FC4438" w:rsidRDefault="004F5251">
      <w:pPr>
        <w:pStyle w:val="Funotentext"/>
        <w:rPr>
          <w:rFonts w:asciiTheme="minorHAnsi" w:hAnsiTheme="minorHAnsi" w:cstheme="minorHAnsi"/>
          <w:sz w:val="18"/>
          <w:szCs w:val="18"/>
          <w:lang w:val="en-US"/>
        </w:rPr>
      </w:pPr>
      <w:r w:rsidRPr="00FC4438">
        <w:rPr>
          <w:rStyle w:val="Funotenzeichen"/>
          <w:rFonts w:asciiTheme="minorHAnsi" w:hAnsiTheme="minorHAnsi" w:cstheme="minorHAnsi"/>
          <w:sz w:val="18"/>
          <w:szCs w:val="18"/>
        </w:rPr>
        <w:footnoteRef/>
      </w:r>
      <w:r w:rsidRPr="00FC4438">
        <w:rPr>
          <w:rFonts w:asciiTheme="minorHAnsi" w:hAnsiTheme="minorHAnsi" w:cstheme="minorHAnsi"/>
          <w:sz w:val="18"/>
          <w:szCs w:val="18"/>
          <w:lang w:val="en-US"/>
        </w:rPr>
        <w:t xml:space="preserve"> </w:t>
      </w:r>
      <w:hyperlink r:id="rId1" w:history="1">
        <w:r w:rsidRPr="00FC4438">
          <w:rPr>
            <w:rStyle w:val="Hyperlink"/>
            <w:rFonts w:asciiTheme="minorHAnsi" w:hAnsiTheme="minorHAnsi" w:cstheme="minorHAnsi"/>
            <w:sz w:val="18"/>
            <w:szCs w:val="18"/>
            <w:lang w:val="en-US"/>
          </w:rPr>
          <w:t>http://ec.europa.eu/education/llp/doc/call11/fiches/valor1_en.pdf</w:t>
        </w:r>
      </w:hyperlink>
      <w:r w:rsidRPr="00FC4438">
        <w:rPr>
          <w:rFonts w:asciiTheme="minorHAnsi" w:hAnsiTheme="minorHAnsi" w:cstheme="minorHAnsi"/>
          <w:sz w:val="18"/>
          <w:szCs w:val="18"/>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251" w:rsidRPr="00976BEE" w:rsidRDefault="004F5251" w:rsidP="007C46DE">
    <w:pPr>
      <w:pStyle w:val="Kopfzeile"/>
      <w:jc w:val="center"/>
      <w:rPr>
        <w:rFonts w:ascii="Calibri" w:hAnsi="Calibri"/>
        <w:sz w:val="16"/>
        <w:szCs w:val="16"/>
      </w:rPr>
    </w:pPr>
    <w:r>
      <w:rPr>
        <w:rFonts w:ascii="Calibri" w:hAnsi="Calibri"/>
        <w:noProof/>
        <w:sz w:val="16"/>
        <w:szCs w:val="16"/>
      </w:rPr>
      <w:drawing>
        <wp:anchor distT="0" distB="0" distL="114300" distR="114300" simplePos="0" relativeHeight="251660288" behindDoc="1" locked="0" layoutInCell="1" allowOverlap="1">
          <wp:simplePos x="0" y="0"/>
          <wp:positionH relativeFrom="column">
            <wp:posOffset>-30480</wp:posOffset>
          </wp:positionH>
          <wp:positionV relativeFrom="paragraph">
            <wp:posOffset>-90805</wp:posOffset>
          </wp:positionV>
          <wp:extent cx="1371600" cy="409575"/>
          <wp:effectExtent l="19050" t="0" r="0" b="0"/>
          <wp:wrapNone/>
          <wp:docPr id="1" name="Bild 1" descr="logo eurostudent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urostudent iv"/>
                  <pic:cNvPicPr>
                    <a:picLocks noChangeAspect="1" noChangeArrowheads="1"/>
                  </pic:cNvPicPr>
                </pic:nvPicPr>
                <pic:blipFill>
                  <a:blip r:embed="rId1"/>
                  <a:srcRect/>
                  <a:stretch>
                    <a:fillRect/>
                  </a:stretch>
                </pic:blipFill>
                <pic:spPr bwMode="auto">
                  <a:xfrm>
                    <a:off x="0" y="0"/>
                    <a:ext cx="1371600" cy="409575"/>
                  </a:xfrm>
                  <a:prstGeom prst="rect">
                    <a:avLst/>
                  </a:prstGeom>
                  <a:noFill/>
                  <a:ln w="9525">
                    <a:noFill/>
                    <a:miter lim="800000"/>
                    <a:headEnd/>
                    <a:tailEnd/>
                  </a:ln>
                </pic:spPr>
              </pic:pic>
            </a:graphicData>
          </a:graphic>
        </wp:anchor>
      </w:drawing>
    </w:r>
    <w:r w:rsidRPr="00976BEE">
      <w:rPr>
        <w:rStyle w:val="Seitenzahl"/>
        <w:rFonts w:ascii="Calibri" w:hAnsi="Calibri"/>
        <w:sz w:val="16"/>
        <w:szCs w:val="16"/>
      </w:rPr>
      <w:fldChar w:fldCharType="begin"/>
    </w:r>
    <w:r w:rsidRPr="00976BEE">
      <w:rPr>
        <w:rStyle w:val="Seitenzahl"/>
        <w:rFonts w:ascii="Calibri" w:hAnsi="Calibri"/>
        <w:sz w:val="16"/>
        <w:szCs w:val="16"/>
      </w:rPr>
      <w:instrText xml:space="preserve"> PAGE </w:instrText>
    </w:r>
    <w:r w:rsidRPr="00976BEE">
      <w:rPr>
        <w:rStyle w:val="Seitenzahl"/>
        <w:rFonts w:ascii="Calibri" w:hAnsi="Calibri"/>
        <w:sz w:val="16"/>
        <w:szCs w:val="16"/>
      </w:rPr>
      <w:fldChar w:fldCharType="separate"/>
    </w:r>
    <w:r w:rsidR="002A6D7B">
      <w:rPr>
        <w:rStyle w:val="Seitenzahl"/>
        <w:rFonts w:ascii="Calibri" w:hAnsi="Calibri"/>
        <w:noProof/>
        <w:sz w:val="16"/>
        <w:szCs w:val="16"/>
      </w:rPr>
      <w:t>3</w:t>
    </w:r>
    <w:r w:rsidRPr="00976BEE">
      <w:rPr>
        <w:rStyle w:val="Seitenzahl"/>
        <w:rFonts w:ascii="Calibri" w:hAnsi="Calibri"/>
        <w:sz w:val="16"/>
        <w:szCs w:val="16"/>
      </w:rPr>
      <w:fldChar w:fldCharType="end"/>
    </w:r>
    <w:r>
      <w:rPr>
        <w:rStyle w:val="Seitenzahl"/>
        <w:rFonts w:ascii="Calibri" w:hAnsi="Calibri"/>
        <w:sz w:val="16"/>
        <w:szCs w:val="16"/>
      </w:rPr>
      <w:t xml:space="preserve"> </w:t>
    </w:r>
    <w:proofErr w:type="spellStart"/>
    <w:r>
      <w:rPr>
        <w:rStyle w:val="Seitenzahl"/>
        <w:rFonts w:ascii="Calibri" w:hAnsi="Calibri"/>
        <w:sz w:val="16"/>
        <w:szCs w:val="16"/>
      </w:rPr>
      <w:t>of</w:t>
    </w:r>
    <w:proofErr w:type="spellEnd"/>
    <w:r>
      <w:rPr>
        <w:rStyle w:val="Seitenzahl"/>
        <w:rFonts w:ascii="Calibri" w:hAnsi="Calibri"/>
        <w:sz w:val="16"/>
        <w:szCs w:val="16"/>
      </w:rPr>
      <w:t xml:space="preserve"> </w:t>
    </w:r>
    <w:r w:rsidRPr="00976BEE">
      <w:rPr>
        <w:rStyle w:val="Seitenzahl"/>
        <w:rFonts w:ascii="Calibri" w:hAnsi="Calibri"/>
        <w:sz w:val="16"/>
        <w:szCs w:val="16"/>
      </w:rPr>
      <w:fldChar w:fldCharType="begin"/>
    </w:r>
    <w:r w:rsidRPr="00976BEE">
      <w:rPr>
        <w:rStyle w:val="Seitenzahl"/>
        <w:rFonts w:ascii="Calibri" w:hAnsi="Calibri"/>
        <w:sz w:val="16"/>
        <w:szCs w:val="16"/>
      </w:rPr>
      <w:instrText xml:space="preserve"> NUMPAGES </w:instrText>
    </w:r>
    <w:r w:rsidRPr="00976BEE">
      <w:rPr>
        <w:rStyle w:val="Seitenzahl"/>
        <w:rFonts w:ascii="Calibri" w:hAnsi="Calibri"/>
        <w:sz w:val="16"/>
        <w:szCs w:val="16"/>
      </w:rPr>
      <w:fldChar w:fldCharType="separate"/>
    </w:r>
    <w:r w:rsidR="002A6D7B">
      <w:rPr>
        <w:rStyle w:val="Seitenzahl"/>
        <w:rFonts w:ascii="Calibri" w:hAnsi="Calibri"/>
        <w:noProof/>
        <w:sz w:val="16"/>
        <w:szCs w:val="16"/>
      </w:rPr>
      <w:t>4</w:t>
    </w:r>
    <w:r w:rsidRPr="00976BEE">
      <w:rPr>
        <w:rStyle w:val="Seitenzahl"/>
        <w:rFonts w:ascii="Calibri" w:hAnsi="Calibri"/>
        <w:sz w:val="16"/>
        <w:szCs w:val="16"/>
      </w:rPr>
      <w:fldChar w:fldCharType="end"/>
    </w:r>
  </w:p>
  <w:p w:rsidR="004F5251" w:rsidRDefault="004F525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4229"/>
    <w:multiLevelType w:val="hybridMultilevel"/>
    <w:tmpl w:val="D856E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29023A"/>
    <w:multiLevelType w:val="hybridMultilevel"/>
    <w:tmpl w:val="518CB7F4"/>
    <w:lvl w:ilvl="0" w:tplc="4CB635D0">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0110A1"/>
    <w:multiLevelType w:val="hybridMultilevel"/>
    <w:tmpl w:val="715094E4"/>
    <w:lvl w:ilvl="0" w:tplc="38BC071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3A15DD"/>
    <w:multiLevelType w:val="hybridMultilevel"/>
    <w:tmpl w:val="609464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6497130"/>
    <w:multiLevelType w:val="hybridMultilevel"/>
    <w:tmpl w:val="E7CAC56A"/>
    <w:lvl w:ilvl="0" w:tplc="4CB635D0">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A694A8C"/>
    <w:multiLevelType w:val="hybridMultilevel"/>
    <w:tmpl w:val="234ED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DB41C85"/>
    <w:multiLevelType w:val="hybridMultilevel"/>
    <w:tmpl w:val="999A2140"/>
    <w:lvl w:ilvl="0" w:tplc="04070001">
      <w:start w:val="1"/>
      <w:numFmt w:val="bullet"/>
      <w:lvlText w:val=""/>
      <w:lvlJc w:val="left"/>
      <w:pPr>
        <w:ind w:left="360" w:hanging="360"/>
      </w:pPr>
      <w:rPr>
        <w:rFonts w:ascii="Symbol" w:hAnsi="Symbol" w:hint="default"/>
      </w:rPr>
    </w:lvl>
    <w:lvl w:ilvl="1" w:tplc="594E978E">
      <w:start w:val="4"/>
      <w:numFmt w:val="bullet"/>
      <w:lvlText w:val="-"/>
      <w:lvlJc w:val="left"/>
      <w:pPr>
        <w:ind w:left="1080" w:hanging="360"/>
      </w:pPr>
      <w:rPr>
        <w:rFonts w:ascii="Calibri" w:eastAsiaTheme="minorHAnsi"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18C10B8"/>
    <w:multiLevelType w:val="hybridMultilevel"/>
    <w:tmpl w:val="3EC0CB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25659BE"/>
    <w:multiLevelType w:val="hybridMultilevel"/>
    <w:tmpl w:val="DD2EB70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3833F68"/>
    <w:multiLevelType w:val="hybridMultilevel"/>
    <w:tmpl w:val="771E3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85448F1"/>
    <w:multiLevelType w:val="hybridMultilevel"/>
    <w:tmpl w:val="FEEC721E"/>
    <w:lvl w:ilvl="0" w:tplc="0407000F">
      <w:start w:val="1"/>
      <w:numFmt w:val="decimal"/>
      <w:lvlText w:val="%1."/>
      <w:lvlJc w:val="left"/>
      <w:pPr>
        <w:ind w:left="360" w:hanging="360"/>
      </w:pPr>
    </w:lvl>
    <w:lvl w:ilvl="1" w:tplc="594E978E">
      <w:start w:val="4"/>
      <w:numFmt w:val="bullet"/>
      <w:lvlText w:val="-"/>
      <w:lvlJc w:val="left"/>
      <w:pPr>
        <w:ind w:left="1080" w:hanging="360"/>
      </w:pPr>
      <w:rPr>
        <w:rFonts w:ascii="Calibri" w:eastAsiaTheme="minorHAnsi"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649902A9"/>
    <w:multiLevelType w:val="hybridMultilevel"/>
    <w:tmpl w:val="75908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4"/>
  </w:num>
  <w:num w:numId="5">
    <w:abstractNumId w:val="1"/>
  </w:num>
  <w:num w:numId="6">
    <w:abstractNumId w:val="11"/>
  </w:num>
  <w:num w:numId="7">
    <w:abstractNumId w:val="9"/>
  </w:num>
  <w:num w:numId="8">
    <w:abstractNumId w:val="8"/>
  </w:num>
  <w:num w:numId="9">
    <w:abstractNumId w:val="0"/>
  </w:num>
  <w:num w:numId="10">
    <w:abstractNumId w:val="3"/>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A14553"/>
    <w:rsid w:val="00022341"/>
    <w:rsid w:val="00184E9A"/>
    <w:rsid w:val="001961DB"/>
    <w:rsid w:val="00200975"/>
    <w:rsid w:val="002760BB"/>
    <w:rsid w:val="002A6D7B"/>
    <w:rsid w:val="00446164"/>
    <w:rsid w:val="004F5251"/>
    <w:rsid w:val="005C3151"/>
    <w:rsid w:val="006D20EA"/>
    <w:rsid w:val="007C46DE"/>
    <w:rsid w:val="0086231D"/>
    <w:rsid w:val="008C3DA1"/>
    <w:rsid w:val="00954B7B"/>
    <w:rsid w:val="009705DE"/>
    <w:rsid w:val="009F7B2E"/>
    <w:rsid w:val="00A14553"/>
    <w:rsid w:val="00BA5960"/>
    <w:rsid w:val="00BB3B6B"/>
    <w:rsid w:val="00BD6B01"/>
    <w:rsid w:val="00C602C2"/>
    <w:rsid w:val="00CC13FF"/>
    <w:rsid w:val="00D11ACC"/>
    <w:rsid w:val="00DE73CA"/>
    <w:rsid w:val="00E06879"/>
    <w:rsid w:val="00F12FEE"/>
    <w:rsid w:val="00F1697C"/>
    <w:rsid w:val="00FC44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4553"/>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4553"/>
    <w:pPr>
      <w:ind w:left="720"/>
      <w:contextualSpacing/>
    </w:pPr>
  </w:style>
  <w:style w:type="paragraph" w:styleId="Kopfzeile">
    <w:name w:val="header"/>
    <w:basedOn w:val="Standard"/>
    <w:link w:val="KopfzeileZchn"/>
    <w:unhideWhenUsed/>
    <w:rsid w:val="007C46DE"/>
    <w:pPr>
      <w:tabs>
        <w:tab w:val="center" w:pos="4536"/>
        <w:tab w:val="right" w:pos="9072"/>
      </w:tabs>
    </w:pPr>
  </w:style>
  <w:style w:type="character" w:customStyle="1" w:styleId="KopfzeileZchn">
    <w:name w:val="Kopfzeile Zchn"/>
    <w:basedOn w:val="Absatz-Standardschriftart"/>
    <w:link w:val="Kopfzeile"/>
    <w:uiPriority w:val="99"/>
    <w:semiHidden/>
    <w:rsid w:val="007C46DE"/>
    <w:rPr>
      <w:rFonts w:ascii="Times New Roman" w:hAnsi="Times New Roman" w:cs="Times New Roman"/>
      <w:sz w:val="24"/>
      <w:szCs w:val="24"/>
      <w:lang w:eastAsia="de-DE"/>
    </w:rPr>
  </w:style>
  <w:style w:type="paragraph" w:styleId="Fuzeile">
    <w:name w:val="footer"/>
    <w:basedOn w:val="Standard"/>
    <w:link w:val="FuzeileZchn"/>
    <w:unhideWhenUsed/>
    <w:rsid w:val="007C46DE"/>
    <w:pPr>
      <w:tabs>
        <w:tab w:val="center" w:pos="4536"/>
        <w:tab w:val="right" w:pos="9072"/>
      </w:tabs>
    </w:pPr>
  </w:style>
  <w:style w:type="character" w:customStyle="1" w:styleId="FuzeileZchn">
    <w:name w:val="Fußzeile Zchn"/>
    <w:basedOn w:val="Absatz-Standardschriftart"/>
    <w:link w:val="Fuzeile"/>
    <w:uiPriority w:val="99"/>
    <w:semiHidden/>
    <w:rsid w:val="007C46DE"/>
    <w:rPr>
      <w:rFonts w:ascii="Times New Roman" w:hAnsi="Times New Roman" w:cs="Times New Roman"/>
      <w:sz w:val="24"/>
      <w:szCs w:val="24"/>
      <w:lang w:eastAsia="de-DE"/>
    </w:rPr>
  </w:style>
  <w:style w:type="character" w:styleId="Seitenzahl">
    <w:name w:val="page number"/>
    <w:basedOn w:val="Absatz-Standardschriftart"/>
    <w:rsid w:val="007C46DE"/>
  </w:style>
  <w:style w:type="paragraph" w:styleId="Textkrper">
    <w:name w:val="Body Text"/>
    <w:basedOn w:val="Standard"/>
    <w:link w:val="TextkrperZchn"/>
    <w:uiPriority w:val="99"/>
    <w:unhideWhenUsed/>
    <w:rsid w:val="00954B7B"/>
    <w:pPr>
      <w:spacing w:after="120"/>
    </w:pPr>
  </w:style>
  <w:style w:type="character" w:customStyle="1" w:styleId="TextkrperZchn">
    <w:name w:val="Textkörper Zchn"/>
    <w:basedOn w:val="Absatz-Standardschriftart"/>
    <w:link w:val="Textkrper"/>
    <w:uiPriority w:val="99"/>
    <w:rsid w:val="00954B7B"/>
    <w:rPr>
      <w:rFonts w:ascii="Times New Roman" w:hAnsi="Times New Roman" w:cs="Times New Roman"/>
      <w:sz w:val="24"/>
      <w:szCs w:val="24"/>
      <w:lang w:eastAsia="de-DE"/>
    </w:rPr>
  </w:style>
  <w:style w:type="character" w:styleId="Hyperlink">
    <w:name w:val="Hyperlink"/>
    <w:basedOn w:val="Absatz-Standardschriftart"/>
    <w:uiPriority w:val="99"/>
    <w:unhideWhenUsed/>
    <w:rsid w:val="00954B7B"/>
    <w:rPr>
      <w:color w:val="0000FF" w:themeColor="hyperlink"/>
      <w:u w:val="single"/>
    </w:rPr>
  </w:style>
  <w:style w:type="paragraph" w:styleId="Funotentext">
    <w:name w:val="footnote text"/>
    <w:basedOn w:val="Standard"/>
    <w:link w:val="FunotentextZchn"/>
    <w:uiPriority w:val="99"/>
    <w:semiHidden/>
    <w:unhideWhenUsed/>
    <w:rsid w:val="00CC13FF"/>
    <w:rPr>
      <w:sz w:val="20"/>
      <w:szCs w:val="20"/>
    </w:rPr>
  </w:style>
  <w:style w:type="character" w:customStyle="1" w:styleId="FunotentextZchn">
    <w:name w:val="Fußnotentext Zchn"/>
    <w:basedOn w:val="Absatz-Standardschriftart"/>
    <w:link w:val="Funotentext"/>
    <w:uiPriority w:val="99"/>
    <w:semiHidden/>
    <w:rsid w:val="00CC13FF"/>
    <w:rPr>
      <w:rFonts w:ascii="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CC13FF"/>
    <w:rPr>
      <w:vertAlign w:val="superscript"/>
    </w:rPr>
  </w:style>
  <w:style w:type="table" w:styleId="Tabellengitternetz">
    <w:name w:val="Table Grid"/>
    <w:basedOn w:val="NormaleTabelle"/>
    <w:uiPriority w:val="59"/>
    <w:rsid w:val="00BD6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unhideWhenUsed/>
    <w:qFormat/>
    <w:rsid w:val="008C3DA1"/>
    <w:pPr>
      <w:spacing w:after="200"/>
    </w:pPr>
    <w:rPr>
      <w:b/>
      <w:bCs/>
      <w:color w:val="4F81BD" w:themeColor="accent1"/>
      <w:sz w:val="18"/>
      <w:szCs w:val="18"/>
    </w:rPr>
  </w:style>
  <w:style w:type="table" w:styleId="MittlereSchattierung1-Akzent1">
    <w:name w:val="Medium Shading 1 Accent 1"/>
    <w:basedOn w:val="NormaleTabelle"/>
    <w:uiPriority w:val="63"/>
    <w:rsid w:val="002760B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4866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llp/doc/call11/fiches/valor1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D8ED1D20B3CD47B6F03AFDCCD77319" ma:contentTypeVersion="0" ma:contentTypeDescription="Create a new document." ma:contentTypeScope="" ma:versionID="1bfd993f6e73ec95d2e6a882924d196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42DE959-5BCB-482A-82DC-5264CC18C046}"/>
</file>

<file path=customXml/itemProps2.xml><?xml version="1.0" encoding="utf-8"?>
<ds:datastoreItem xmlns:ds="http://schemas.openxmlformats.org/officeDocument/2006/customXml" ds:itemID="{F4FEA42D-692F-4987-BF36-5462807F3BF9}"/>
</file>

<file path=customXml/itemProps3.xml><?xml version="1.0" encoding="utf-8"?>
<ds:datastoreItem xmlns:ds="http://schemas.openxmlformats.org/officeDocument/2006/customXml" ds:itemID="{0DBE7CD3-DD6E-47FC-BF6E-B8AD5F4FC822}"/>
</file>

<file path=customXml/itemProps4.xml><?xml version="1.0" encoding="utf-8"?>
<ds:datastoreItem xmlns:ds="http://schemas.openxmlformats.org/officeDocument/2006/customXml" ds:itemID="{383B145D-5781-45D7-AB70-6E2112A06358}"/>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7962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dc:creator>
  <cp:lastModifiedBy>orr</cp:lastModifiedBy>
  <cp:revision>7</cp:revision>
  <cp:lastPrinted>2011-02-21T14:02:00Z</cp:lastPrinted>
  <dcterms:created xsi:type="dcterms:W3CDTF">2011-02-21T15:54:00Z</dcterms:created>
  <dcterms:modified xsi:type="dcterms:W3CDTF">2011-02-21T16:49:00Z</dcterms:modified>
</cp:coreProperties>
</file>